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p w:rsidR="002E3A76" w:rsidRPr="00F60B2E" w:rsidRDefault="00B705B8" w:rsidP="00B705B8">
            <w:pPr>
              <w:spacing w:after="0"/>
              <w:rPr>
                <w:rFonts w:ascii="Arial" w:hAnsi="Arial" w:cs="Arial"/>
                <w:b/>
                <w:sz w:val="18"/>
                <w:szCs w:val="18"/>
                <w:highlight w:val="lightGray"/>
                <w:u w:val="single"/>
              </w:rPr>
            </w:pPr>
            <w:bookmarkStart w:id="0" w:name="Text6"/>
            <w:r>
              <w:rPr>
                <w:b/>
                <w:sz w:val="24"/>
                <w:szCs w:val="24"/>
                <w:highlight w:val="lightGray"/>
                <w:u w:val="single"/>
              </w:rPr>
              <w:t xml:space="preserve">Discipline: Water/Wastewater Technology Education </w:t>
            </w:r>
            <w:bookmarkEnd w:id="0"/>
          </w:p>
        </w:tc>
        <w:tc>
          <w:tcPr>
            <w:tcW w:w="2448" w:type="dxa"/>
            <w:shd w:val="clear" w:color="auto" w:fill="auto"/>
            <w:vAlign w:val="bottom"/>
          </w:tcPr>
          <w:p w:rsidR="002E3A76" w:rsidRPr="00A97E85" w:rsidRDefault="002E3A76" w:rsidP="00652193">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652193">
              <w:rPr>
                <w:b/>
                <w:noProof/>
                <w:sz w:val="24"/>
                <w:szCs w:val="24"/>
                <w:u w:val="single"/>
              </w:rPr>
              <w:t>01/30/2015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BC7BB1"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652193">
              <w:rPr>
                <w:b/>
                <w:noProof/>
                <w:sz w:val="24"/>
                <w:szCs w:val="24"/>
                <w:shd w:val="pct12" w:color="auto" w:fill="BFBFBF"/>
              </w:rPr>
              <w:t xml:space="preserve"> Ed Pedrazzi,</w:t>
            </w:r>
            <w:r w:rsidR="00FB5118">
              <w:rPr>
                <w:b/>
                <w:noProof/>
                <w:sz w:val="24"/>
                <w:szCs w:val="24"/>
                <w:shd w:val="pct12" w:color="auto" w:fill="BFBFBF"/>
              </w:rPr>
              <w:t xml:space="preserve"> Glenn Thorpe, Steve Plyler,</w:t>
            </w:r>
            <w:r w:rsidR="0006139C">
              <w:rPr>
                <w:b/>
                <w:noProof/>
                <w:sz w:val="24"/>
                <w:szCs w:val="24"/>
                <w:shd w:val="pct12" w:color="auto" w:fill="BFBFBF"/>
              </w:rPr>
              <w:t xml:space="preserve"> Mark Molina</w:t>
            </w:r>
            <w:r w:rsidR="003E48C9">
              <w:rPr>
                <w:b/>
                <w:noProof/>
                <w:sz w:val="24"/>
                <w:szCs w:val="24"/>
                <w:shd w:val="pct12" w:color="auto" w:fill="BFBFBF"/>
              </w:rPr>
              <w:t xml:space="preserve"> and Mollie Smith</w:t>
            </w:r>
            <w:r w:rsidR="00FB5118">
              <w:rPr>
                <w:b/>
                <w:noProof/>
                <w:sz w:val="24"/>
                <w:szCs w:val="24"/>
                <w:shd w:val="pct12" w:color="auto" w:fill="BFBFBF"/>
              </w:rPr>
              <w:t xml:space="preserve"> </w:t>
            </w:r>
            <w:r w:rsidR="00652193">
              <w:rPr>
                <w:b/>
                <w:noProof/>
                <w:sz w:val="24"/>
                <w:szCs w:val="24"/>
                <w:shd w:val="pct12" w:color="auto" w:fill="BFBFBF"/>
              </w:rPr>
              <w:t xml:space="preserve"> </w:t>
            </w:r>
            <w:r w:rsidRPr="00A97E85">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rsidR="00837687" w:rsidRPr="000E11CA" w:rsidRDefault="00837687" w:rsidP="00DB451E">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FE20C9">
              <w:rPr>
                <w:rFonts w:ascii="Times New Roman" w:hAnsi="Times New Roman"/>
                <w:noProof/>
                <w:sz w:val="24"/>
                <w:szCs w:val="24"/>
                <w:shd w:val="pct10" w:color="auto" w:fill="D9D9D9"/>
              </w:rPr>
              <w:t>Enrollments and WSCH/FTE are stable with the latter ranging between 550 and 600 for the water and wastewater programs combined.</w:t>
            </w:r>
            <w:r w:rsidR="00267DA6">
              <w:rPr>
                <w:rFonts w:ascii="Times New Roman" w:hAnsi="Times New Roman"/>
                <w:noProof/>
                <w:sz w:val="24"/>
                <w:szCs w:val="24"/>
                <w:shd w:val="pct10" w:color="auto" w:fill="D9D9D9"/>
              </w:rPr>
              <w:t xml:space="preserve"> Retention hovers around 95% for the two programs and pass rates range between 80% and 85%.  </w:t>
            </w:r>
            <w:r w:rsidR="00DB451E">
              <w:rPr>
                <w:rFonts w:ascii="Times New Roman" w:hAnsi="Times New Roman"/>
                <w:noProof/>
                <w:sz w:val="24"/>
                <w:szCs w:val="24"/>
                <w:shd w:val="pct10" w:color="auto" w:fill="D9D9D9"/>
              </w:rPr>
              <w:t xml:space="preserve">Based on the six year trend, the two programs combined award an average of 35 certificates and degrees each year.  </w:t>
            </w:r>
            <w:r w:rsidR="00FE20C9">
              <w:rPr>
                <w:rFonts w:ascii="Times New Roman" w:hAnsi="Times New Roman"/>
                <w:noProof/>
                <w:sz w:val="24"/>
                <w:szCs w:val="24"/>
                <w:shd w:val="pct10" w:color="auto" w:fill="D9D9D9"/>
              </w:rPr>
              <w:t xml:space="preserve">  </w:t>
            </w: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rsidR="00DB451E" w:rsidRPr="00DB451E" w:rsidRDefault="00837687" w:rsidP="00DB451E">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DB451E" w:rsidRPr="00DB451E">
              <w:rPr>
                <w:rFonts w:ascii="Times New Roman" w:hAnsi="Times New Roman"/>
                <w:noProof/>
                <w:sz w:val="24"/>
                <w:szCs w:val="24"/>
                <w:shd w:val="pct10" w:color="auto" w:fill="D9D9D9"/>
              </w:rPr>
              <w:t>SLO's have been consistently assessed and entered into TracDat.  Results indicate students are demonstrating the learning outcomes set by faculty and are achieving or exceeding the critera set by facu</w:t>
            </w:r>
            <w:r w:rsidR="00DB451E">
              <w:rPr>
                <w:rFonts w:ascii="Times New Roman" w:hAnsi="Times New Roman"/>
                <w:noProof/>
                <w:sz w:val="24"/>
                <w:szCs w:val="24"/>
                <w:shd w:val="pct10" w:color="auto" w:fill="D9D9D9"/>
              </w:rPr>
              <w:t>lt</w:t>
            </w:r>
            <w:r w:rsidR="00DB451E" w:rsidRPr="00DB451E">
              <w:rPr>
                <w:rFonts w:ascii="Times New Roman" w:hAnsi="Times New Roman"/>
                <w:noProof/>
                <w:sz w:val="24"/>
                <w:szCs w:val="24"/>
                <w:shd w:val="pct10" w:color="auto" w:fill="D9D9D9"/>
              </w:rPr>
              <w:t xml:space="preserve">y. </w:t>
            </w:r>
          </w:p>
          <w:p w:rsidR="00DB451E" w:rsidRPr="00DB451E" w:rsidRDefault="00DB451E" w:rsidP="00DB451E">
            <w:pPr>
              <w:spacing w:after="0"/>
              <w:rPr>
                <w:rFonts w:ascii="Times New Roman" w:hAnsi="Times New Roman"/>
                <w:noProof/>
                <w:sz w:val="24"/>
                <w:szCs w:val="24"/>
                <w:shd w:val="pct10" w:color="auto" w:fill="D9D9D9"/>
              </w:rPr>
            </w:pPr>
          </w:p>
          <w:p w:rsidR="00DB451E" w:rsidRDefault="00DB451E" w:rsidP="00DB451E">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Faculty review the comprehensive SLO data at each advisory meeting.  </w:t>
            </w:r>
            <w:r w:rsidRPr="00DB451E">
              <w:rPr>
                <w:rFonts w:ascii="Times New Roman" w:hAnsi="Times New Roman"/>
                <w:noProof/>
                <w:sz w:val="24"/>
                <w:szCs w:val="24"/>
                <w:shd w:val="pct10" w:color="auto" w:fill="D9D9D9"/>
              </w:rPr>
              <w:t>Feedback from faculty indicated ongoing modifications to the SLO's assessment process.  The following are feedback from faculty and provide examples of changes to course SLO processes.</w:t>
            </w:r>
          </w:p>
          <w:p w:rsidR="00DB451E" w:rsidRDefault="00DB451E" w:rsidP="00DB451E">
            <w:pPr>
              <w:spacing w:after="0"/>
              <w:rPr>
                <w:rFonts w:ascii="Times New Roman" w:hAnsi="Times New Roman"/>
                <w:noProof/>
                <w:sz w:val="24"/>
                <w:szCs w:val="24"/>
                <w:shd w:val="pct10" w:color="auto" w:fill="D9D9D9"/>
              </w:rPr>
            </w:pPr>
          </w:p>
          <w:p w:rsidR="00837687" w:rsidRDefault="00DB451E" w:rsidP="00DB451E">
            <w:pPr>
              <w:spacing w:after="0"/>
              <w:rPr>
                <w:rFonts w:ascii="Arial" w:hAnsi="Arial" w:cs="Arial"/>
                <w:sz w:val="24"/>
                <w:szCs w:val="24"/>
              </w:rPr>
            </w:pPr>
            <w:r>
              <w:rPr>
                <w:rFonts w:ascii="Times New Roman" w:hAnsi="Times New Roman"/>
                <w:noProof/>
                <w:sz w:val="24"/>
                <w:szCs w:val="24"/>
                <w:shd w:val="pct10" w:color="auto" w:fill="D9D9D9"/>
              </w:rPr>
              <w:t xml:space="preserve">Faculty will continue to assess course SLO's and report assessment results based on the timeline set up in TracDat.   </w:t>
            </w:r>
            <w:r w:rsidR="00837687"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837687" w:rsidRPr="009015F1" w:rsidRDefault="000E11CA"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fldChar w:fldCharType="end"/>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37687" w:rsidRDefault="000E11CA" w:rsidP="000E11CA">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837687" w:rsidRDefault="00837687" w:rsidP="000E11CA">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612471" w:rsidRPr="00612471">
              <w:rPr>
                <w:rFonts w:ascii="Times New Roman" w:hAnsi="Times New Roman"/>
                <w:noProof/>
                <w:sz w:val="24"/>
                <w:szCs w:val="24"/>
                <w:shd w:val="pct10" w:color="auto" w:fill="D9D9D9"/>
              </w:rPr>
              <w:t xml:space="preserve">LMI data shows 13% growth for water and liquid wastewater treatment plant workers through 2020.  Median salary for San Diego County is $64K annually.   </w:t>
            </w:r>
            <w:r w:rsidRPr="000E11CA">
              <w:rPr>
                <w:rFonts w:ascii="Times New Roman" w:hAnsi="Times New Roman"/>
                <w:noProof/>
                <w:sz w:val="24"/>
                <w:szCs w:val="24"/>
                <w:shd w:val="pct10" w:color="auto" w:fill="D9D9D9"/>
              </w:rPr>
              <w:fldChar w:fldCharType="end"/>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47272D" w:rsidRDefault="00E214F5"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612471">
              <w:rPr>
                <w:rFonts w:ascii="Times New Roman" w:hAnsi="Times New Roman"/>
                <w:noProof/>
                <w:sz w:val="24"/>
                <w:szCs w:val="24"/>
                <w:shd w:val="pct10" w:color="auto" w:fill="D9D9D9"/>
              </w:rPr>
              <w:t xml:space="preserve">One of the goals set in the 2013-14 program review was to purchase supplies and equipment to fully outfit the new water/wastewater laboratory in T-114.  The supplies and equipment required are to provide full implementation of curriculum and laboratory activities for the </w:t>
            </w:r>
            <w:r w:rsidR="0047272D">
              <w:rPr>
                <w:rFonts w:ascii="Times New Roman" w:hAnsi="Times New Roman"/>
                <w:noProof/>
                <w:sz w:val="24"/>
                <w:szCs w:val="24"/>
                <w:shd w:val="pct10" w:color="auto" w:fill="D9D9D9"/>
              </w:rPr>
              <w:t xml:space="preserve">WWT.WTE 56 Instrumentation &amp; Controls, </w:t>
            </w:r>
            <w:r w:rsidR="00612471">
              <w:rPr>
                <w:rFonts w:ascii="Times New Roman" w:hAnsi="Times New Roman"/>
                <w:noProof/>
                <w:sz w:val="24"/>
                <w:szCs w:val="24"/>
                <w:shd w:val="pct10" w:color="auto" w:fill="D9D9D9"/>
              </w:rPr>
              <w:t xml:space="preserve">WWT.WTE 58 Backflow Prevention class, WTE 64 Water Quality Monitoring, </w:t>
            </w:r>
            <w:r w:rsidR="00DD5E2E">
              <w:rPr>
                <w:rFonts w:ascii="Times New Roman" w:hAnsi="Times New Roman"/>
                <w:noProof/>
                <w:sz w:val="24"/>
                <w:szCs w:val="24"/>
                <w:shd w:val="pct10" w:color="auto" w:fill="D9D9D9"/>
              </w:rPr>
              <w:t xml:space="preserve">WWT.WTE 66 Pumps and Motors, </w:t>
            </w:r>
            <w:r w:rsidR="00612471">
              <w:rPr>
                <w:rFonts w:ascii="Times New Roman" w:hAnsi="Times New Roman"/>
                <w:noProof/>
                <w:sz w:val="24"/>
                <w:szCs w:val="24"/>
                <w:shd w:val="pct10" w:color="auto" w:fill="D9D9D9"/>
              </w:rPr>
              <w:t>and WWT.WTE 68 Cross Connection Specialist</w:t>
            </w:r>
            <w:r w:rsidR="0047272D">
              <w:rPr>
                <w:rFonts w:ascii="Times New Roman" w:hAnsi="Times New Roman"/>
                <w:noProof/>
                <w:sz w:val="24"/>
                <w:szCs w:val="24"/>
                <w:shd w:val="pct10" w:color="auto" w:fill="D9D9D9"/>
              </w:rPr>
              <w:t xml:space="preserve">.  Additionally faculty in the remaining WWT. and WTE classes will be able to take their classes to the T 114 laboratory classroom to expose students to the latest technology in water and wastewater delivery systems.  </w:t>
            </w:r>
          </w:p>
          <w:p w:rsidR="0047272D" w:rsidRDefault="0047272D" w:rsidP="000E11CA">
            <w:pPr>
              <w:spacing w:after="0"/>
              <w:rPr>
                <w:rFonts w:ascii="Times New Roman" w:hAnsi="Times New Roman"/>
                <w:noProof/>
                <w:sz w:val="24"/>
                <w:szCs w:val="24"/>
                <w:shd w:val="pct10" w:color="auto" w:fill="D9D9D9"/>
              </w:rPr>
            </w:pPr>
          </w:p>
          <w:p w:rsidR="0047272D" w:rsidRDefault="0047272D"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The equipments and supplies will allow the students to learn and operate the backflow testing equipment, learn the computer technology that allows for the remote monitoring and movement of water resources, and learn and practice water testing and monitoring procedures.  </w:t>
            </w:r>
          </w:p>
          <w:p w:rsidR="0047272D" w:rsidRDefault="0047272D" w:rsidP="000E11CA">
            <w:pPr>
              <w:spacing w:after="0"/>
              <w:rPr>
                <w:rFonts w:ascii="Times New Roman" w:hAnsi="Times New Roman"/>
                <w:noProof/>
                <w:sz w:val="24"/>
                <w:szCs w:val="24"/>
                <w:shd w:val="pct10" w:color="auto" w:fill="D9D9D9"/>
              </w:rPr>
            </w:pPr>
          </w:p>
          <w:p w:rsidR="00E214F5" w:rsidRPr="00E214F5" w:rsidRDefault="00E214F5" w:rsidP="000E11CA">
            <w:pPr>
              <w:spacing w:after="0"/>
              <w:rPr>
                <w:rFonts w:asciiTheme="minorHAnsi" w:hAnsiTheme="minorHAnsi" w:cs="Arial"/>
                <w:b/>
              </w:rPr>
            </w:pPr>
            <w:r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BC7BB1"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5F7E1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Pr>
                <w:rFonts w:ascii="Arial" w:eastAsia="Times New Roman" w:hAnsi="Arial" w:cs="Arial"/>
                <w:b/>
                <w:sz w:val="16"/>
                <w:szCs w:val="16"/>
              </w:rPr>
              <w:t>See spreadsheet detail</w:t>
            </w:r>
            <w:r w:rsidRPr="00174EF8">
              <w:rPr>
                <w:rFonts w:ascii="Arial" w:eastAsia="Times New Roman" w:hAnsi="Arial" w:cs="Arial"/>
                <w:b/>
                <w:sz w:val="16"/>
                <w:szCs w:val="16"/>
              </w:rPr>
              <w:fldChar w:fldCharType="end"/>
            </w:r>
          </w:p>
        </w:tc>
        <w:tc>
          <w:tcPr>
            <w:tcW w:w="990" w:type="dxa"/>
          </w:tcPr>
          <w:p w:rsidR="00C976F3" w:rsidRPr="00174EF8" w:rsidRDefault="00C976F3" w:rsidP="005F7E1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6139C">
              <w:rPr>
                <w:rFonts w:ascii="Arial" w:eastAsia="Times New Roman" w:hAnsi="Arial" w:cs="Arial"/>
                <w:b/>
                <w:noProof/>
                <w:sz w:val="16"/>
                <w:szCs w:val="16"/>
              </w:rPr>
              <w:t>Block Grant</w:t>
            </w:r>
            <w:r w:rsidR="005F7E1D">
              <w:rPr>
                <w:rFonts w:ascii="Arial" w:eastAsia="Times New Roman" w:hAnsi="Arial" w:cs="Arial"/>
                <w:b/>
                <w:noProof/>
                <w:sz w:val="16"/>
                <w:szCs w:val="16"/>
              </w:rPr>
              <w:t xml:space="preserve"> &amp; </w:t>
            </w:r>
            <w:r w:rsidR="0006139C">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rsidR="00C976F3" w:rsidRPr="00174EF8" w:rsidRDefault="00C976F3" w:rsidP="00FB511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5118">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C976F3" w:rsidRPr="00174EF8" w:rsidRDefault="00C976F3" w:rsidP="00FB511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511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C976F3" w:rsidRPr="00174EF8" w:rsidRDefault="00C976F3" w:rsidP="008B40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E0A60" w:rsidRPr="001E0A60">
              <w:rPr>
                <w:rFonts w:ascii="Arial" w:eastAsia="Times New Roman" w:hAnsi="Arial" w:cs="Arial"/>
                <w:b/>
                <w:noProof/>
                <w:sz w:val="16"/>
                <w:szCs w:val="16"/>
              </w:rPr>
              <w:t xml:space="preserve">The funding allocated from the 2013-14 PRP allocation process allowed us to  purchase about one-third of the total amount needed to fully outfit the </w:t>
            </w:r>
            <w:r w:rsidR="00FB5118">
              <w:rPr>
                <w:rFonts w:ascii="Arial" w:eastAsia="Times New Roman" w:hAnsi="Arial" w:cs="Arial"/>
                <w:b/>
                <w:noProof/>
                <w:sz w:val="16"/>
                <w:szCs w:val="16"/>
              </w:rPr>
              <w:t xml:space="preserve">T 114 </w:t>
            </w:r>
            <w:r w:rsidR="001E0A60" w:rsidRPr="001E0A60">
              <w:rPr>
                <w:rFonts w:ascii="Arial" w:eastAsia="Times New Roman" w:hAnsi="Arial" w:cs="Arial"/>
                <w:b/>
                <w:noProof/>
                <w:sz w:val="16"/>
                <w:szCs w:val="16"/>
              </w:rPr>
              <w:t>laboratory.  We have received donations from area water agencies and from vendors.  We will use some departmental funding to purchse supplies and equipment.  We are requesting an additional $</w:t>
            </w:r>
            <w:r w:rsidR="00FB5118">
              <w:rPr>
                <w:rFonts w:ascii="Arial" w:eastAsia="Times New Roman" w:hAnsi="Arial" w:cs="Arial"/>
                <w:b/>
                <w:noProof/>
                <w:sz w:val="16"/>
                <w:szCs w:val="16"/>
              </w:rPr>
              <w:t>2</w:t>
            </w:r>
            <w:r w:rsidR="008B408E">
              <w:rPr>
                <w:rFonts w:ascii="Arial" w:eastAsia="Times New Roman" w:hAnsi="Arial" w:cs="Arial"/>
                <w:b/>
                <w:noProof/>
                <w:sz w:val="16"/>
                <w:szCs w:val="16"/>
              </w:rPr>
              <w:t>3,982.75</w:t>
            </w:r>
            <w:r w:rsidR="00FB5118">
              <w:rPr>
                <w:rFonts w:ascii="Arial" w:eastAsia="Times New Roman" w:hAnsi="Arial" w:cs="Arial"/>
                <w:b/>
                <w:noProof/>
                <w:sz w:val="16"/>
                <w:szCs w:val="16"/>
              </w:rPr>
              <w:t xml:space="preserve">  to complete the purchases</w:t>
            </w:r>
            <w:r w:rsidR="0006139C">
              <w:rPr>
                <w:rFonts w:ascii="Arial" w:eastAsia="Times New Roman" w:hAnsi="Arial" w:cs="Arial"/>
                <w:b/>
                <w:noProof/>
                <w:sz w:val="16"/>
                <w:szCs w:val="16"/>
              </w:rPr>
              <w:t xml:space="preserve"> of the SCADA equipment and water quality equipment</w:t>
            </w:r>
            <w:r w:rsidR="00FB5118">
              <w:rPr>
                <w:rFonts w:ascii="Arial" w:eastAsia="Times New Roman" w:hAnsi="Arial" w:cs="Arial"/>
                <w:b/>
                <w:noProof/>
                <w:sz w:val="16"/>
                <w:szCs w:val="16"/>
              </w:rPr>
              <w:t xml:space="preserve">.  The equipment will </w:t>
            </w:r>
            <w:r w:rsidR="005F7E1D">
              <w:rPr>
                <w:rFonts w:ascii="Arial" w:eastAsia="Times New Roman" w:hAnsi="Arial" w:cs="Arial"/>
                <w:b/>
                <w:noProof/>
                <w:sz w:val="16"/>
                <w:szCs w:val="16"/>
              </w:rPr>
              <w:t xml:space="preserve">enable </w:t>
            </w:r>
            <w:r w:rsidR="00FB5118">
              <w:rPr>
                <w:rFonts w:ascii="Arial" w:eastAsia="Times New Roman" w:hAnsi="Arial" w:cs="Arial"/>
                <w:b/>
                <w:noProof/>
                <w:sz w:val="16"/>
                <w:szCs w:val="16"/>
              </w:rPr>
              <w:t xml:space="preserve">students to apply their learning using the latest technology in water delivery </w:t>
            </w:r>
            <w:r w:rsidR="005F7E1D">
              <w:rPr>
                <w:rFonts w:ascii="Arial" w:eastAsia="Times New Roman" w:hAnsi="Arial" w:cs="Arial"/>
                <w:b/>
                <w:noProof/>
                <w:sz w:val="16"/>
                <w:szCs w:val="16"/>
              </w:rPr>
              <w:t xml:space="preserve">and water collection </w:t>
            </w:r>
            <w:r w:rsidR="0006139C">
              <w:rPr>
                <w:rFonts w:ascii="Arial" w:eastAsia="Times New Roman" w:hAnsi="Arial" w:cs="Arial"/>
                <w:b/>
                <w:noProof/>
                <w:sz w:val="16"/>
                <w:szCs w:val="16"/>
              </w:rPr>
              <w:t>systems</w:t>
            </w:r>
            <w:r w:rsidR="00FB5118">
              <w:rPr>
                <w:rFonts w:ascii="Arial" w:eastAsia="Times New Roman" w:hAnsi="Arial" w:cs="Arial"/>
                <w:b/>
                <w:noProof/>
                <w:sz w:val="16"/>
                <w:szCs w:val="16"/>
              </w:rPr>
              <w:t>.  The equipment will support the Instrumentation and Controls and Water Quality classes.</w:t>
            </w:r>
            <w:r w:rsidRPr="00174EF8">
              <w:rPr>
                <w:rFonts w:ascii="Arial" w:eastAsia="Times New Roman" w:hAnsi="Arial" w:cs="Arial"/>
                <w:b/>
                <w:sz w:val="16"/>
                <w:szCs w:val="16"/>
              </w:rPr>
              <w:fldChar w:fldCharType="end"/>
            </w:r>
          </w:p>
        </w:tc>
        <w:tc>
          <w:tcPr>
            <w:tcW w:w="1440" w:type="dxa"/>
          </w:tcPr>
          <w:p w:rsidR="00C976F3" w:rsidRPr="00174EF8" w:rsidRDefault="00C976F3" w:rsidP="0041123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Pr>
                <w:rFonts w:ascii="Arial" w:eastAsia="Times New Roman" w:hAnsi="Arial" w:cs="Arial"/>
                <w:b/>
                <w:sz w:val="16"/>
                <w:szCs w:val="16"/>
              </w:rPr>
              <w:t>$</w:t>
            </w:r>
            <w:r w:rsidR="0041123B">
              <w:rPr>
                <w:rFonts w:ascii="Arial" w:eastAsia="Times New Roman" w:hAnsi="Arial" w:cs="Arial"/>
                <w:b/>
                <w:sz w:val="16"/>
                <w:szCs w:val="16"/>
              </w:rPr>
              <w:t>23,982.75</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5F7E1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5F7E1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5F7E1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5F7E1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5F7E1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5F7E1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5F7E1D">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5F7E1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005F7E1D">
              <w:rPr>
                <w:rFonts w:ascii="Arial" w:eastAsia="Times New Roman" w:hAnsi="Arial" w:cs="Arial"/>
                <w:b/>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BC7BB1"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BC7BB1"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0553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553F1">
              <w:rPr>
                <w:rFonts w:ascii="Arial" w:eastAsia="Times New Roman" w:hAnsi="Arial" w:cs="Arial"/>
                <w:b/>
                <w:sz w:val="16"/>
                <w:szCs w:val="16"/>
              </w:rPr>
              <w:t> </w:t>
            </w:r>
            <w:r w:rsidR="000553F1">
              <w:rPr>
                <w:rFonts w:ascii="Arial" w:eastAsia="Times New Roman" w:hAnsi="Arial" w:cs="Arial"/>
                <w:b/>
                <w:sz w:val="16"/>
                <w:szCs w:val="16"/>
              </w:rPr>
              <w:t> </w:t>
            </w:r>
            <w:r w:rsidR="000553F1">
              <w:rPr>
                <w:rFonts w:ascii="Arial" w:eastAsia="Times New Roman" w:hAnsi="Arial" w:cs="Arial"/>
                <w:b/>
                <w:sz w:val="16"/>
                <w:szCs w:val="16"/>
              </w:rPr>
              <w:t> </w:t>
            </w:r>
            <w:r w:rsidR="000553F1">
              <w:rPr>
                <w:rFonts w:ascii="Arial" w:eastAsia="Times New Roman" w:hAnsi="Arial" w:cs="Arial"/>
                <w:b/>
                <w:sz w:val="16"/>
                <w:szCs w:val="16"/>
              </w:rPr>
              <w:t> </w:t>
            </w:r>
            <w:r w:rsidR="000553F1">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BC7BB1"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BC7BB1"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BC7BB1"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BC7BB1"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5F7E1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sidRPr="005F7E1D">
              <w:rPr>
                <w:rFonts w:ascii="Arial" w:eastAsia="Times New Roman" w:hAnsi="Arial" w:cs="Arial"/>
                <w:b/>
                <w:noProof/>
                <w:sz w:val="16"/>
                <w:szCs w:val="16"/>
              </w:rPr>
              <w:t>Dual Ethernet w/DLR capability, 1MB Memory, 8 I/O Expansion, 16 Ethernet IP Nodes. Controllers are shipped with 1GB SD card and can support up to 2GB SD card.</w:t>
            </w:r>
            <w:r w:rsidRPr="00174EF8">
              <w:rPr>
                <w:rFonts w:ascii="Arial" w:eastAsia="Times New Roman" w:hAnsi="Arial" w:cs="Arial"/>
                <w:b/>
                <w:sz w:val="16"/>
                <w:szCs w:val="16"/>
              </w:rPr>
              <w:fldChar w:fldCharType="end"/>
            </w:r>
          </w:p>
        </w:tc>
        <w:tc>
          <w:tcPr>
            <w:tcW w:w="990" w:type="dxa"/>
          </w:tcPr>
          <w:p w:rsidR="005F7E1D" w:rsidRDefault="00F80C11" w:rsidP="005F7E1D">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7E1D">
              <w:rPr>
                <w:rFonts w:ascii="Arial" w:eastAsia="Times New Roman" w:hAnsi="Arial" w:cs="Arial"/>
                <w:b/>
                <w:sz w:val="16"/>
                <w:szCs w:val="16"/>
              </w:rPr>
              <w:t xml:space="preserve">Block Grant &amp; </w:t>
            </w:r>
          </w:p>
          <w:p w:rsidR="00F80C11" w:rsidRPr="00174EF8" w:rsidRDefault="005F7E1D" w:rsidP="005F7E1D">
            <w:pPr>
              <w:spacing w:after="0" w:line="240" w:lineRule="auto"/>
              <w:rPr>
                <w:rFonts w:ascii="Times New Roman" w:eastAsia="Times New Roman" w:hAnsi="Times New Roman"/>
                <w:sz w:val="24"/>
                <w:szCs w:val="24"/>
              </w:rPr>
            </w:pPr>
            <w:r>
              <w:rPr>
                <w:rFonts w:ascii="Arial" w:eastAsia="Times New Roman" w:hAnsi="Arial" w:cs="Arial"/>
                <w:b/>
                <w:sz w:val="16"/>
                <w:szCs w:val="16"/>
              </w:rPr>
              <w:t>Fund 41</w:t>
            </w:r>
            <w:r w:rsidR="00F80C11" w:rsidRPr="00174EF8">
              <w:rPr>
                <w:rFonts w:ascii="Arial" w:eastAsia="Times New Roman" w:hAnsi="Arial" w:cs="Arial"/>
                <w:b/>
                <w:sz w:val="16"/>
                <w:szCs w:val="16"/>
              </w:rPr>
              <w:fldChar w:fldCharType="end"/>
            </w:r>
          </w:p>
        </w:tc>
        <w:tc>
          <w:tcPr>
            <w:tcW w:w="1350" w:type="dxa"/>
          </w:tcPr>
          <w:p w:rsidR="00F80C11" w:rsidRPr="00174EF8" w:rsidRDefault="00F80C11" w:rsidP="0074404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4040">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74404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4040">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4040">
              <w:rPr>
                <w:rFonts w:ascii="Arial" w:eastAsia="Times New Roman" w:hAnsi="Arial" w:cs="Arial"/>
                <w:b/>
                <w:sz w:val="16"/>
                <w:szCs w:val="16"/>
              </w:rPr>
              <w:t>T</w:t>
            </w:r>
            <w:r w:rsidR="00744040" w:rsidRPr="00744040">
              <w:rPr>
                <w:rFonts w:ascii="Arial" w:eastAsia="Times New Roman" w:hAnsi="Arial" w:cs="Arial"/>
                <w:b/>
                <w:noProof/>
                <w:sz w:val="16"/>
                <w:szCs w:val="16"/>
              </w:rPr>
              <w:t>he funding allocated from the 2013-14 PRP allocation process allowed us to  purchase about one-third of the total amount needed to fully outfit the T 114 laboratory.  We have received donations from area water agencies and from vendors.  We will use some departmental funding to purchse supplies and equipment.  We are requesting an additional $</w:t>
            </w:r>
            <w:r w:rsidR="00F3404E">
              <w:rPr>
                <w:rFonts w:ascii="Arial" w:eastAsia="Times New Roman" w:hAnsi="Arial" w:cs="Arial"/>
                <w:b/>
                <w:noProof/>
                <w:sz w:val="16"/>
                <w:szCs w:val="16"/>
              </w:rPr>
              <w:t>2</w:t>
            </w:r>
            <w:r w:rsidR="00AF5E7F">
              <w:rPr>
                <w:rFonts w:ascii="Arial" w:eastAsia="Times New Roman" w:hAnsi="Arial" w:cs="Arial"/>
                <w:b/>
                <w:noProof/>
                <w:sz w:val="16"/>
                <w:szCs w:val="16"/>
              </w:rPr>
              <w:t>3,982.75</w:t>
            </w:r>
            <w:r w:rsidR="00744040" w:rsidRPr="00744040">
              <w:rPr>
                <w:rFonts w:ascii="Arial" w:eastAsia="Times New Roman" w:hAnsi="Arial" w:cs="Arial"/>
                <w:b/>
                <w:noProof/>
                <w:sz w:val="16"/>
                <w:szCs w:val="16"/>
              </w:rPr>
              <w:t xml:space="preserve">  to complete the purchases.  The equipment will </w:t>
            </w:r>
            <w:r w:rsidR="005F7E1D">
              <w:rPr>
                <w:rFonts w:ascii="Arial" w:eastAsia="Times New Roman" w:hAnsi="Arial" w:cs="Arial"/>
                <w:b/>
                <w:noProof/>
                <w:sz w:val="16"/>
                <w:szCs w:val="16"/>
              </w:rPr>
              <w:t xml:space="preserve">enable </w:t>
            </w:r>
            <w:r w:rsidR="00744040" w:rsidRPr="00744040">
              <w:rPr>
                <w:rFonts w:ascii="Arial" w:eastAsia="Times New Roman" w:hAnsi="Arial" w:cs="Arial"/>
                <w:b/>
                <w:noProof/>
                <w:sz w:val="16"/>
                <w:szCs w:val="16"/>
              </w:rPr>
              <w:t>students to apply their learning using the latest technology in water delivery and water collection systems.  The equipment will support the Instrumentation and Controls and Water Quality classes.</w:t>
            </w:r>
            <w:r w:rsidRPr="00174EF8">
              <w:rPr>
                <w:rFonts w:ascii="Arial" w:eastAsia="Times New Roman" w:hAnsi="Arial" w:cs="Arial"/>
                <w:b/>
                <w:sz w:val="16"/>
                <w:szCs w:val="16"/>
              </w:rPr>
              <w:fldChar w:fldCharType="end"/>
            </w:r>
          </w:p>
        </w:tc>
        <w:tc>
          <w:tcPr>
            <w:tcW w:w="1440" w:type="dxa"/>
          </w:tcPr>
          <w:p w:rsidR="00F80C11" w:rsidRPr="00174EF8" w:rsidRDefault="00F80C11" w:rsidP="00F340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$2</w:t>
            </w:r>
            <w:r w:rsidR="00F3404E">
              <w:rPr>
                <w:rFonts w:ascii="Arial" w:eastAsia="Times New Roman" w:hAnsi="Arial" w:cs="Arial"/>
                <w:b/>
                <w:noProof/>
                <w:sz w:val="16"/>
                <w:szCs w:val="16"/>
              </w:rPr>
              <w:t>227.5</w:t>
            </w:r>
            <w:r w:rsidR="006F7F1B" w:rsidRPr="006F7F1B">
              <w:rPr>
                <w:rFonts w:ascii="Arial" w:eastAsia="Times New Roman" w:hAnsi="Arial" w:cs="Arial"/>
                <w:b/>
                <w:noProof/>
                <w:sz w:val="16"/>
                <w:szCs w:val="16"/>
              </w:rPr>
              <w:t xml:space="preserve">0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6F7F1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ControlLogix5571 Controller With 2 Mbytes Memory</w:t>
            </w:r>
            <w:r w:rsidRPr="00174EF8">
              <w:rPr>
                <w:rFonts w:ascii="Arial" w:eastAsia="Times New Roman" w:hAnsi="Arial" w:cs="Arial"/>
                <w:b/>
                <w:sz w:val="16"/>
                <w:szCs w:val="16"/>
              </w:rPr>
              <w:fldChar w:fldCharType="end"/>
            </w:r>
          </w:p>
        </w:tc>
        <w:tc>
          <w:tcPr>
            <w:tcW w:w="990" w:type="dxa"/>
          </w:tcPr>
          <w:p w:rsidR="00AF5E7F" w:rsidRPr="00AF5E7F" w:rsidRDefault="00F80C11" w:rsidP="00AF5E7F">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 xml:space="preserve">Block Grant &amp; </w:t>
            </w:r>
          </w:p>
          <w:p w:rsidR="00F80C11" w:rsidRPr="00174EF8" w:rsidRDefault="00AF5E7F" w:rsidP="00AF5E7F">
            <w:pPr>
              <w:spacing w:after="0" w:line="240" w:lineRule="auto"/>
              <w:rPr>
                <w:rFonts w:ascii="Times New Roman" w:eastAsia="Times New Roman" w:hAnsi="Times New Roman"/>
                <w:sz w:val="24"/>
                <w:szCs w:val="24"/>
              </w:rPr>
            </w:pPr>
            <w:r w:rsidRPr="00AF5E7F">
              <w:rPr>
                <w:rFonts w:ascii="Arial" w:eastAsia="Times New Roman" w:hAnsi="Arial" w:cs="Arial"/>
                <w:b/>
                <w:noProof/>
                <w:sz w:val="16"/>
                <w:szCs w:val="16"/>
              </w:rPr>
              <w:t>Fund 41</w:t>
            </w:r>
            <w:r w:rsidR="00F80C11" w:rsidRPr="00174EF8">
              <w:rPr>
                <w:rFonts w:ascii="Arial" w:eastAsia="Times New Roman" w:hAnsi="Arial" w:cs="Arial"/>
                <w:b/>
                <w:sz w:val="16"/>
                <w:szCs w:val="16"/>
              </w:rPr>
              <w:fldChar w:fldCharType="end"/>
            </w:r>
          </w:p>
        </w:tc>
        <w:tc>
          <w:tcPr>
            <w:tcW w:w="135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Pr>
                <w:rFonts w:ascii="Arial" w:eastAsia="Times New Roman" w:hAnsi="Arial" w:cs="Arial"/>
                <w:b/>
                <w:noProof/>
                <w:sz w:val="16"/>
                <w:szCs w:val="16"/>
              </w:rPr>
              <w:t>See above</w:t>
            </w:r>
            <w:r w:rsidRPr="00174EF8">
              <w:rPr>
                <w:rFonts w:ascii="Arial" w:eastAsia="Times New Roman" w:hAnsi="Arial" w:cs="Arial"/>
                <w:b/>
                <w:sz w:val="16"/>
                <w:szCs w:val="16"/>
              </w:rPr>
              <w:fldChar w:fldCharType="end"/>
            </w:r>
          </w:p>
        </w:tc>
        <w:tc>
          <w:tcPr>
            <w:tcW w:w="1440" w:type="dxa"/>
          </w:tcPr>
          <w:p w:rsidR="00F80C11" w:rsidRPr="00174EF8" w:rsidRDefault="00F80C11" w:rsidP="00F340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$4,</w:t>
            </w:r>
            <w:r w:rsidR="00F3404E">
              <w:rPr>
                <w:rFonts w:ascii="Arial" w:eastAsia="Times New Roman" w:hAnsi="Arial" w:cs="Arial"/>
                <w:b/>
                <w:noProof/>
                <w:sz w:val="16"/>
                <w:szCs w:val="16"/>
              </w:rPr>
              <w:t>686</w:t>
            </w:r>
            <w:r w:rsidR="006F7F1B" w:rsidRPr="006F7F1B">
              <w:rPr>
                <w:rFonts w:ascii="Arial" w:eastAsia="Times New Roman" w:hAnsi="Arial" w:cs="Arial"/>
                <w:b/>
                <w:noProof/>
                <w:sz w:val="16"/>
                <w:szCs w:val="16"/>
              </w:rPr>
              <w:t xml:space="preserve">.00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6F7F1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85-265 VAC Power Supply (10 Amp @ 5V)</w:t>
            </w:r>
            <w:r w:rsidRPr="00174EF8">
              <w:rPr>
                <w:rFonts w:ascii="Arial" w:eastAsia="Times New Roman" w:hAnsi="Arial" w:cs="Arial"/>
                <w:b/>
                <w:sz w:val="16"/>
                <w:szCs w:val="16"/>
              </w:rPr>
              <w:fldChar w:fldCharType="end"/>
            </w:r>
          </w:p>
        </w:tc>
        <w:tc>
          <w:tcPr>
            <w:tcW w:w="990" w:type="dxa"/>
          </w:tcPr>
          <w:p w:rsidR="00AF5E7F" w:rsidRPr="00AF5E7F" w:rsidRDefault="00F80C11" w:rsidP="00AF5E7F">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 xml:space="preserve">Block Grant &amp; </w:t>
            </w:r>
          </w:p>
          <w:p w:rsidR="00F80C11" w:rsidRPr="00174EF8" w:rsidRDefault="00AF5E7F" w:rsidP="00AF5E7F">
            <w:pPr>
              <w:spacing w:after="0" w:line="240" w:lineRule="auto"/>
              <w:rPr>
                <w:rFonts w:ascii="Times New Roman" w:eastAsia="Times New Roman" w:hAnsi="Times New Roman"/>
                <w:sz w:val="24"/>
                <w:szCs w:val="24"/>
              </w:rPr>
            </w:pPr>
            <w:r w:rsidRPr="00AF5E7F">
              <w:rPr>
                <w:rFonts w:ascii="Arial" w:eastAsia="Times New Roman" w:hAnsi="Arial" w:cs="Arial"/>
                <w:b/>
                <w:noProof/>
                <w:sz w:val="16"/>
                <w:szCs w:val="16"/>
              </w:rPr>
              <w:t>Fund 41</w:t>
            </w:r>
            <w:r w:rsidR="00F80C11" w:rsidRPr="00174EF8">
              <w:rPr>
                <w:rFonts w:ascii="Arial" w:eastAsia="Times New Roman" w:hAnsi="Arial" w:cs="Arial"/>
                <w:b/>
                <w:sz w:val="16"/>
                <w:szCs w:val="16"/>
              </w:rPr>
              <w:fldChar w:fldCharType="end"/>
            </w:r>
          </w:p>
        </w:tc>
        <w:tc>
          <w:tcPr>
            <w:tcW w:w="135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See above</w:t>
            </w:r>
            <w:r w:rsidRPr="00174EF8">
              <w:rPr>
                <w:rFonts w:ascii="Arial" w:eastAsia="Times New Roman" w:hAnsi="Arial" w:cs="Arial"/>
                <w:b/>
                <w:sz w:val="16"/>
                <w:szCs w:val="16"/>
              </w:rPr>
              <w:fldChar w:fldCharType="end"/>
            </w:r>
          </w:p>
        </w:tc>
        <w:tc>
          <w:tcPr>
            <w:tcW w:w="1440" w:type="dxa"/>
          </w:tcPr>
          <w:p w:rsidR="00F80C11" w:rsidRPr="00174EF8" w:rsidRDefault="00F80C11" w:rsidP="00F340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w:t>
            </w:r>
            <w:r w:rsidR="00F3404E">
              <w:rPr>
                <w:rFonts w:ascii="Arial" w:eastAsia="Times New Roman" w:hAnsi="Arial" w:cs="Arial"/>
                <w:b/>
                <w:noProof/>
                <w:sz w:val="16"/>
                <w:szCs w:val="16"/>
              </w:rPr>
              <w:t>805.20</w:t>
            </w:r>
            <w:r w:rsidR="006F7F1B" w:rsidRPr="006F7F1B">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6F7F1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10-30 VDC Isolated Output  16 Pts (36 Pin)</w:t>
            </w:r>
            <w:r w:rsidRPr="00174EF8">
              <w:rPr>
                <w:rFonts w:ascii="Arial" w:eastAsia="Times New Roman" w:hAnsi="Arial" w:cs="Arial"/>
                <w:b/>
                <w:sz w:val="16"/>
                <w:szCs w:val="16"/>
              </w:rPr>
              <w:fldChar w:fldCharType="end"/>
            </w:r>
          </w:p>
        </w:tc>
        <w:tc>
          <w:tcPr>
            <w:tcW w:w="990" w:type="dxa"/>
          </w:tcPr>
          <w:p w:rsidR="00AF5E7F" w:rsidRPr="00AF5E7F" w:rsidRDefault="00F80C11" w:rsidP="00AF5E7F">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 xml:space="preserve">Block Grant &amp; </w:t>
            </w:r>
          </w:p>
          <w:p w:rsidR="00F80C11" w:rsidRPr="00174EF8" w:rsidRDefault="00AF5E7F" w:rsidP="00AF5E7F">
            <w:pPr>
              <w:spacing w:after="0" w:line="240" w:lineRule="auto"/>
              <w:rPr>
                <w:rFonts w:ascii="Times New Roman" w:eastAsia="Times New Roman" w:hAnsi="Times New Roman"/>
                <w:sz w:val="24"/>
                <w:szCs w:val="24"/>
              </w:rPr>
            </w:pPr>
            <w:r w:rsidRPr="00AF5E7F">
              <w:rPr>
                <w:rFonts w:ascii="Arial" w:eastAsia="Times New Roman" w:hAnsi="Arial" w:cs="Arial"/>
                <w:b/>
                <w:noProof/>
                <w:sz w:val="16"/>
                <w:szCs w:val="16"/>
              </w:rPr>
              <w:t>Fund 41</w:t>
            </w:r>
            <w:r w:rsidR="00F80C11" w:rsidRPr="00174EF8">
              <w:rPr>
                <w:rFonts w:ascii="Arial" w:eastAsia="Times New Roman" w:hAnsi="Arial" w:cs="Arial"/>
                <w:b/>
                <w:sz w:val="16"/>
                <w:szCs w:val="16"/>
              </w:rPr>
              <w:fldChar w:fldCharType="end"/>
            </w:r>
          </w:p>
        </w:tc>
        <w:tc>
          <w:tcPr>
            <w:tcW w:w="135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See above</w:t>
            </w:r>
            <w:r w:rsidRPr="00174EF8">
              <w:rPr>
                <w:rFonts w:ascii="Arial" w:eastAsia="Times New Roman" w:hAnsi="Arial" w:cs="Arial"/>
                <w:b/>
                <w:sz w:val="16"/>
                <w:szCs w:val="16"/>
              </w:rPr>
              <w:fldChar w:fldCharType="end"/>
            </w:r>
          </w:p>
        </w:tc>
        <w:tc>
          <w:tcPr>
            <w:tcW w:w="1440" w:type="dxa"/>
          </w:tcPr>
          <w:p w:rsidR="00F80C11" w:rsidRPr="00174EF8" w:rsidRDefault="00F80C11" w:rsidP="00F340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$1,</w:t>
            </w:r>
            <w:r w:rsidR="00F3404E">
              <w:rPr>
                <w:rFonts w:ascii="Arial" w:eastAsia="Times New Roman" w:hAnsi="Arial" w:cs="Arial"/>
                <w:b/>
                <w:noProof/>
                <w:sz w:val="16"/>
                <w:szCs w:val="16"/>
              </w:rPr>
              <w:t>278.75</w:t>
            </w:r>
            <w:r w:rsidR="006F7F1B" w:rsidRPr="006F7F1B">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6F7F1B">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Isolated Analog Input-Current/Voltage 6 Pts (20Pin)</w:t>
            </w:r>
            <w:r>
              <w:rPr>
                <w:rFonts w:ascii="Arial" w:eastAsia="Times New Roman" w:hAnsi="Arial" w:cs="Arial"/>
                <w:b/>
                <w:sz w:val="16"/>
                <w:szCs w:val="16"/>
              </w:rPr>
              <w:fldChar w:fldCharType="end"/>
            </w:r>
          </w:p>
        </w:tc>
        <w:tc>
          <w:tcPr>
            <w:tcW w:w="990" w:type="dxa"/>
          </w:tcPr>
          <w:p w:rsidR="00AF5E7F" w:rsidRPr="00AF5E7F" w:rsidRDefault="00F80C11" w:rsidP="00AF5E7F">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 xml:space="preserve">Block Grant &amp; </w:t>
            </w:r>
          </w:p>
          <w:p w:rsidR="00F80C11" w:rsidRPr="00174EF8" w:rsidRDefault="00AF5E7F" w:rsidP="00AF5E7F">
            <w:pPr>
              <w:spacing w:after="0" w:line="240" w:lineRule="auto"/>
              <w:rPr>
                <w:rFonts w:ascii="Times New Roman" w:eastAsia="Times New Roman" w:hAnsi="Times New Roman"/>
                <w:sz w:val="24"/>
                <w:szCs w:val="24"/>
              </w:rPr>
            </w:pPr>
            <w:r w:rsidRPr="00AF5E7F">
              <w:rPr>
                <w:rFonts w:ascii="Arial" w:eastAsia="Times New Roman" w:hAnsi="Arial" w:cs="Arial"/>
                <w:b/>
                <w:noProof/>
                <w:sz w:val="16"/>
                <w:szCs w:val="16"/>
              </w:rPr>
              <w:t>Fund 41</w:t>
            </w:r>
            <w:r w:rsidR="00F80C11" w:rsidRPr="00174EF8">
              <w:rPr>
                <w:rFonts w:ascii="Arial" w:eastAsia="Times New Roman" w:hAnsi="Arial" w:cs="Arial"/>
                <w:b/>
                <w:sz w:val="16"/>
                <w:szCs w:val="16"/>
              </w:rPr>
              <w:fldChar w:fldCharType="end"/>
            </w:r>
          </w:p>
        </w:tc>
        <w:tc>
          <w:tcPr>
            <w:tcW w:w="135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See above</w:t>
            </w:r>
            <w:r w:rsidRPr="00174EF8">
              <w:rPr>
                <w:rFonts w:ascii="Arial" w:eastAsia="Times New Roman" w:hAnsi="Arial" w:cs="Arial"/>
                <w:b/>
                <w:sz w:val="16"/>
                <w:szCs w:val="16"/>
              </w:rPr>
              <w:fldChar w:fldCharType="end"/>
            </w:r>
          </w:p>
        </w:tc>
        <w:tc>
          <w:tcPr>
            <w:tcW w:w="1440" w:type="dxa"/>
          </w:tcPr>
          <w:p w:rsidR="00F80C11" w:rsidRPr="00174EF8" w:rsidRDefault="00F80C11" w:rsidP="00F340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$3,</w:t>
            </w:r>
            <w:r w:rsidR="00F3404E">
              <w:rPr>
                <w:rFonts w:ascii="Arial" w:eastAsia="Times New Roman" w:hAnsi="Arial" w:cs="Arial"/>
                <w:b/>
                <w:noProof/>
                <w:sz w:val="16"/>
                <w:szCs w:val="16"/>
              </w:rPr>
              <w:t>630.00</w:t>
            </w:r>
            <w:r w:rsidR="006F7F1B" w:rsidRPr="006F7F1B">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6F7F1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PanelView Plus 6 Compact Terminal, Touch Input Type, 5.7 in Display Size, Color Display Type, Ethernet and RS232 communication, DC Power Input</w:t>
            </w:r>
            <w:r w:rsidRPr="00174EF8">
              <w:rPr>
                <w:rFonts w:ascii="Arial" w:eastAsia="Times New Roman" w:hAnsi="Arial" w:cs="Arial"/>
                <w:b/>
                <w:sz w:val="16"/>
                <w:szCs w:val="16"/>
              </w:rPr>
              <w:fldChar w:fldCharType="end"/>
            </w:r>
          </w:p>
        </w:tc>
        <w:tc>
          <w:tcPr>
            <w:tcW w:w="990" w:type="dxa"/>
          </w:tcPr>
          <w:p w:rsidR="00AF5E7F" w:rsidRPr="00AF5E7F" w:rsidRDefault="00F80C11" w:rsidP="00AF5E7F">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 xml:space="preserve">Block Grant &amp; </w:t>
            </w:r>
          </w:p>
          <w:p w:rsidR="00F80C11" w:rsidRPr="00174EF8" w:rsidRDefault="00AF5E7F" w:rsidP="00AF5E7F">
            <w:pPr>
              <w:spacing w:after="0" w:line="240" w:lineRule="auto"/>
              <w:rPr>
                <w:rFonts w:ascii="Times New Roman" w:eastAsia="Times New Roman" w:hAnsi="Times New Roman"/>
                <w:sz w:val="24"/>
                <w:szCs w:val="24"/>
              </w:rPr>
            </w:pPr>
            <w:r w:rsidRPr="00AF5E7F">
              <w:rPr>
                <w:rFonts w:ascii="Arial" w:eastAsia="Times New Roman" w:hAnsi="Arial" w:cs="Arial"/>
                <w:b/>
                <w:noProof/>
                <w:sz w:val="16"/>
                <w:szCs w:val="16"/>
              </w:rPr>
              <w:t>Fund 41</w:t>
            </w:r>
            <w:r w:rsidR="00F80C11" w:rsidRPr="00174EF8">
              <w:rPr>
                <w:rFonts w:ascii="Arial" w:eastAsia="Times New Roman" w:hAnsi="Arial" w:cs="Arial"/>
                <w:b/>
                <w:sz w:val="16"/>
                <w:szCs w:val="16"/>
              </w:rPr>
              <w:fldChar w:fldCharType="end"/>
            </w:r>
          </w:p>
        </w:tc>
        <w:tc>
          <w:tcPr>
            <w:tcW w:w="135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See above</w:t>
            </w:r>
            <w:r w:rsidRPr="00174EF8">
              <w:rPr>
                <w:rFonts w:ascii="Arial" w:eastAsia="Times New Roman" w:hAnsi="Arial" w:cs="Arial"/>
                <w:b/>
                <w:sz w:val="16"/>
                <w:szCs w:val="16"/>
              </w:rPr>
              <w:fldChar w:fldCharType="end"/>
            </w:r>
          </w:p>
        </w:tc>
        <w:tc>
          <w:tcPr>
            <w:tcW w:w="1440" w:type="dxa"/>
          </w:tcPr>
          <w:p w:rsidR="00F80C11" w:rsidRPr="00174EF8" w:rsidRDefault="00F80C11" w:rsidP="00F340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$2,</w:t>
            </w:r>
            <w:r w:rsidR="00F3404E">
              <w:rPr>
                <w:rFonts w:ascii="Arial" w:eastAsia="Times New Roman" w:hAnsi="Arial" w:cs="Arial"/>
                <w:b/>
                <w:noProof/>
                <w:sz w:val="16"/>
                <w:szCs w:val="16"/>
              </w:rPr>
              <w:t>989.80</w:t>
            </w:r>
            <w:r w:rsidR="006F7F1B" w:rsidRPr="006F7F1B">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6F7F1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Stratix 5700 Switch, Managed, 6 Fast Ethernet Copper Ports, Lite Software</w:t>
            </w:r>
            <w:r w:rsidRPr="00174EF8">
              <w:rPr>
                <w:rFonts w:ascii="Arial" w:eastAsia="Times New Roman" w:hAnsi="Arial" w:cs="Arial"/>
                <w:b/>
                <w:sz w:val="16"/>
                <w:szCs w:val="16"/>
              </w:rPr>
              <w:fldChar w:fldCharType="end"/>
            </w:r>
          </w:p>
        </w:tc>
        <w:tc>
          <w:tcPr>
            <w:tcW w:w="990" w:type="dxa"/>
          </w:tcPr>
          <w:p w:rsidR="00AF5E7F" w:rsidRPr="00AF5E7F" w:rsidRDefault="00F80C11" w:rsidP="00AF5E7F">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 xml:space="preserve">Block Grant &amp; </w:t>
            </w:r>
          </w:p>
          <w:p w:rsidR="00F80C11" w:rsidRPr="00174EF8" w:rsidRDefault="00AF5E7F" w:rsidP="00AF5E7F">
            <w:pPr>
              <w:spacing w:after="0" w:line="240" w:lineRule="auto"/>
              <w:rPr>
                <w:rFonts w:ascii="Times New Roman" w:eastAsia="Times New Roman" w:hAnsi="Times New Roman"/>
                <w:sz w:val="24"/>
                <w:szCs w:val="24"/>
              </w:rPr>
            </w:pPr>
            <w:r w:rsidRPr="00AF5E7F">
              <w:rPr>
                <w:rFonts w:ascii="Arial" w:eastAsia="Times New Roman" w:hAnsi="Arial" w:cs="Arial"/>
                <w:b/>
                <w:noProof/>
                <w:sz w:val="16"/>
                <w:szCs w:val="16"/>
              </w:rPr>
              <w:t>Fund 41</w:t>
            </w:r>
            <w:r w:rsidR="00F80C11" w:rsidRPr="00174EF8">
              <w:rPr>
                <w:rFonts w:ascii="Arial" w:eastAsia="Times New Roman" w:hAnsi="Arial" w:cs="Arial"/>
                <w:b/>
                <w:sz w:val="16"/>
                <w:szCs w:val="16"/>
              </w:rPr>
              <w:fldChar w:fldCharType="end"/>
            </w:r>
          </w:p>
        </w:tc>
        <w:tc>
          <w:tcPr>
            <w:tcW w:w="135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See above</w:t>
            </w:r>
            <w:r w:rsidRPr="00174EF8">
              <w:rPr>
                <w:rFonts w:ascii="Arial" w:eastAsia="Times New Roman" w:hAnsi="Arial" w:cs="Arial"/>
                <w:b/>
                <w:sz w:val="16"/>
                <w:szCs w:val="16"/>
              </w:rPr>
              <w:fldChar w:fldCharType="end"/>
            </w:r>
          </w:p>
        </w:tc>
        <w:tc>
          <w:tcPr>
            <w:tcW w:w="1440" w:type="dxa"/>
          </w:tcPr>
          <w:p w:rsidR="00F80C11" w:rsidRPr="00174EF8" w:rsidRDefault="00F80C11" w:rsidP="00F340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3404E">
              <w:rPr>
                <w:rFonts w:ascii="Arial" w:eastAsia="Times New Roman" w:hAnsi="Arial" w:cs="Arial"/>
                <w:b/>
                <w:noProof/>
                <w:sz w:val="16"/>
                <w:szCs w:val="16"/>
              </w:rPr>
              <w:t>$775.50</w:t>
            </w:r>
            <w:r w:rsidR="006F7F1B" w:rsidRPr="006F7F1B">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6F7F1B" w:rsidRPr="006F7F1B" w:rsidRDefault="00F80C11" w:rsidP="006F7F1B">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2100Q01</w:t>
            </w:r>
          </w:p>
          <w:p w:rsidR="006F7F1B" w:rsidRPr="006F7F1B" w:rsidRDefault="006F7F1B" w:rsidP="006F7F1B">
            <w:pPr>
              <w:spacing w:after="0" w:line="240" w:lineRule="auto"/>
              <w:rPr>
                <w:rFonts w:ascii="Arial" w:eastAsia="Times New Roman" w:hAnsi="Arial" w:cs="Arial"/>
                <w:b/>
                <w:noProof/>
                <w:sz w:val="16"/>
                <w:szCs w:val="16"/>
              </w:rPr>
            </w:pPr>
            <w:r w:rsidRPr="006F7F1B">
              <w:rPr>
                <w:rFonts w:ascii="Arial" w:eastAsia="Times New Roman" w:hAnsi="Arial" w:cs="Arial"/>
                <w:b/>
                <w:noProof/>
                <w:sz w:val="16"/>
                <w:szCs w:val="16"/>
              </w:rPr>
              <w:t>2100Q Portable</w:t>
            </w:r>
          </w:p>
          <w:p w:rsidR="00F80C11" w:rsidRPr="00174EF8" w:rsidRDefault="006F7F1B" w:rsidP="006F7F1B">
            <w:pPr>
              <w:spacing w:after="0" w:line="240" w:lineRule="auto"/>
              <w:rPr>
                <w:rFonts w:ascii="Times New Roman" w:eastAsia="Times New Roman" w:hAnsi="Times New Roman"/>
                <w:sz w:val="24"/>
                <w:szCs w:val="24"/>
              </w:rPr>
            </w:pPr>
            <w:r w:rsidRPr="006F7F1B">
              <w:rPr>
                <w:rFonts w:ascii="Arial" w:eastAsia="Times New Roman" w:hAnsi="Arial" w:cs="Arial"/>
                <w:b/>
                <w:noProof/>
                <w:sz w:val="16"/>
                <w:szCs w:val="16"/>
              </w:rPr>
              <w:t>Turbidimeter</w:t>
            </w:r>
            <w:r w:rsidR="00F80C11" w:rsidRPr="00174EF8">
              <w:rPr>
                <w:rFonts w:ascii="Arial" w:eastAsia="Times New Roman" w:hAnsi="Arial" w:cs="Arial"/>
                <w:b/>
                <w:sz w:val="16"/>
                <w:szCs w:val="16"/>
              </w:rPr>
              <w:fldChar w:fldCharType="end"/>
            </w:r>
          </w:p>
        </w:tc>
        <w:tc>
          <w:tcPr>
            <w:tcW w:w="990" w:type="dxa"/>
          </w:tcPr>
          <w:p w:rsidR="00AF5E7F" w:rsidRPr="00AF5E7F" w:rsidRDefault="00F80C11" w:rsidP="00AF5E7F">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 xml:space="preserve">Block Grant &amp; </w:t>
            </w:r>
          </w:p>
          <w:p w:rsidR="00F80C11" w:rsidRPr="00174EF8" w:rsidRDefault="00AF5E7F" w:rsidP="00AF5E7F">
            <w:pPr>
              <w:spacing w:after="0" w:line="240" w:lineRule="auto"/>
              <w:rPr>
                <w:rFonts w:ascii="Times New Roman" w:eastAsia="Times New Roman" w:hAnsi="Times New Roman"/>
                <w:sz w:val="24"/>
                <w:szCs w:val="24"/>
              </w:rPr>
            </w:pPr>
            <w:r w:rsidRPr="00AF5E7F">
              <w:rPr>
                <w:rFonts w:ascii="Arial" w:eastAsia="Times New Roman" w:hAnsi="Arial" w:cs="Arial"/>
                <w:b/>
                <w:noProof/>
                <w:sz w:val="16"/>
                <w:szCs w:val="16"/>
              </w:rPr>
              <w:t>Fund 41</w:t>
            </w:r>
            <w:r w:rsidR="00F80C11" w:rsidRPr="00174EF8">
              <w:rPr>
                <w:rFonts w:ascii="Arial" w:eastAsia="Times New Roman" w:hAnsi="Arial" w:cs="Arial"/>
                <w:b/>
                <w:sz w:val="16"/>
                <w:szCs w:val="16"/>
              </w:rPr>
              <w:fldChar w:fldCharType="end"/>
            </w:r>
          </w:p>
        </w:tc>
        <w:tc>
          <w:tcPr>
            <w:tcW w:w="135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See above</w:t>
            </w:r>
            <w:r w:rsidRPr="00174EF8">
              <w:rPr>
                <w:rFonts w:ascii="Arial" w:eastAsia="Times New Roman" w:hAnsi="Arial" w:cs="Arial"/>
                <w:b/>
                <w:sz w:val="16"/>
                <w:szCs w:val="16"/>
              </w:rPr>
              <w:fldChar w:fldCharType="end"/>
            </w:r>
          </w:p>
        </w:tc>
        <w:tc>
          <w:tcPr>
            <w:tcW w:w="1440" w:type="dxa"/>
          </w:tcPr>
          <w:p w:rsidR="00F80C11" w:rsidRPr="00174EF8" w:rsidRDefault="00F80C11" w:rsidP="00F340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$3,</w:t>
            </w:r>
            <w:r w:rsidR="00F3404E">
              <w:rPr>
                <w:rFonts w:ascii="Arial" w:eastAsia="Times New Roman" w:hAnsi="Arial" w:cs="Arial"/>
                <w:b/>
                <w:noProof/>
                <w:sz w:val="16"/>
                <w:szCs w:val="16"/>
              </w:rPr>
              <w:t>537.60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6F7F1B" w:rsidRPr="006F7F1B" w:rsidRDefault="00F80C11" w:rsidP="006F7F1B">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PCIICHLOR</w:t>
            </w:r>
          </w:p>
          <w:p w:rsidR="006F7F1B" w:rsidRPr="006F7F1B" w:rsidRDefault="006F7F1B" w:rsidP="006F7F1B">
            <w:pPr>
              <w:spacing w:after="0" w:line="240" w:lineRule="auto"/>
              <w:rPr>
                <w:rFonts w:ascii="Arial" w:eastAsia="Times New Roman" w:hAnsi="Arial" w:cs="Arial"/>
                <w:b/>
                <w:noProof/>
                <w:sz w:val="16"/>
                <w:szCs w:val="16"/>
              </w:rPr>
            </w:pPr>
            <w:r w:rsidRPr="006F7F1B">
              <w:rPr>
                <w:rFonts w:ascii="Arial" w:eastAsia="Times New Roman" w:hAnsi="Arial" w:cs="Arial"/>
                <w:b/>
                <w:noProof/>
                <w:sz w:val="16"/>
                <w:szCs w:val="16"/>
              </w:rPr>
              <w:t>Pocket Colorimeter™</w:t>
            </w:r>
          </w:p>
          <w:p w:rsidR="006F7F1B" w:rsidRPr="006F7F1B" w:rsidRDefault="006F7F1B" w:rsidP="006F7F1B">
            <w:pPr>
              <w:spacing w:after="0" w:line="240" w:lineRule="auto"/>
              <w:rPr>
                <w:rFonts w:ascii="Arial" w:eastAsia="Times New Roman" w:hAnsi="Arial" w:cs="Arial"/>
                <w:b/>
                <w:noProof/>
                <w:sz w:val="16"/>
                <w:szCs w:val="16"/>
              </w:rPr>
            </w:pPr>
            <w:r w:rsidRPr="006F7F1B">
              <w:rPr>
                <w:rFonts w:ascii="Arial" w:eastAsia="Times New Roman" w:hAnsi="Arial" w:cs="Arial"/>
                <w:b/>
                <w:noProof/>
                <w:sz w:val="16"/>
                <w:szCs w:val="16"/>
              </w:rPr>
              <w:t>II, Chlorine Pocket</w:t>
            </w:r>
          </w:p>
          <w:p w:rsidR="006F7F1B" w:rsidRPr="006F7F1B" w:rsidRDefault="006F7F1B" w:rsidP="006F7F1B">
            <w:pPr>
              <w:spacing w:after="0" w:line="240" w:lineRule="auto"/>
              <w:rPr>
                <w:rFonts w:ascii="Arial" w:eastAsia="Times New Roman" w:hAnsi="Arial" w:cs="Arial"/>
                <w:b/>
                <w:noProof/>
                <w:sz w:val="16"/>
                <w:szCs w:val="16"/>
              </w:rPr>
            </w:pPr>
            <w:r w:rsidRPr="006F7F1B">
              <w:rPr>
                <w:rFonts w:ascii="Arial" w:eastAsia="Times New Roman" w:hAnsi="Arial" w:cs="Arial"/>
                <w:b/>
                <w:noProof/>
                <w:sz w:val="16"/>
                <w:szCs w:val="16"/>
              </w:rPr>
              <w:t>Colorimeter II with</w:t>
            </w:r>
          </w:p>
          <w:p w:rsidR="006F7F1B" w:rsidRPr="006F7F1B" w:rsidRDefault="006F7F1B" w:rsidP="006F7F1B">
            <w:pPr>
              <w:spacing w:after="0" w:line="240" w:lineRule="auto"/>
              <w:rPr>
                <w:rFonts w:ascii="Arial" w:eastAsia="Times New Roman" w:hAnsi="Arial" w:cs="Arial"/>
                <w:b/>
                <w:noProof/>
                <w:sz w:val="16"/>
                <w:szCs w:val="16"/>
              </w:rPr>
            </w:pPr>
            <w:r w:rsidRPr="006F7F1B">
              <w:rPr>
                <w:rFonts w:ascii="Arial" w:eastAsia="Times New Roman" w:hAnsi="Arial" w:cs="Arial"/>
                <w:b/>
                <w:noProof/>
                <w:sz w:val="16"/>
                <w:szCs w:val="16"/>
              </w:rPr>
              <w:t>Chlorine SpecCheck</w:t>
            </w:r>
          </w:p>
          <w:p w:rsidR="00F80C11" w:rsidRPr="00174EF8" w:rsidRDefault="006F7F1B" w:rsidP="006F7F1B">
            <w:pPr>
              <w:spacing w:after="0" w:line="240" w:lineRule="auto"/>
              <w:rPr>
                <w:rFonts w:ascii="Times New Roman" w:eastAsia="Times New Roman" w:hAnsi="Times New Roman"/>
                <w:sz w:val="24"/>
                <w:szCs w:val="24"/>
              </w:rPr>
            </w:pPr>
            <w:r w:rsidRPr="006F7F1B">
              <w:rPr>
                <w:rFonts w:ascii="Arial" w:eastAsia="Times New Roman" w:hAnsi="Arial" w:cs="Arial"/>
                <w:b/>
                <w:noProof/>
                <w:sz w:val="16"/>
                <w:szCs w:val="16"/>
              </w:rPr>
              <w:t>Standards</w:t>
            </w:r>
            <w:r w:rsidR="00F80C11" w:rsidRPr="00174EF8">
              <w:rPr>
                <w:rFonts w:ascii="Arial" w:eastAsia="Times New Roman" w:hAnsi="Arial" w:cs="Arial"/>
                <w:b/>
                <w:sz w:val="16"/>
                <w:szCs w:val="16"/>
              </w:rPr>
              <w:fldChar w:fldCharType="end"/>
            </w:r>
          </w:p>
        </w:tc>
        <w:tc>
          <w:tcPr>
            <w:tcW w:w="990" w:type="dxa"/>
          </w:tcPr>
          <w:p w:rsidR="00AF5E7F" w:rsidRPr="00AF5E7F" w:rsidRDefault="00F80C11" w:rsidP="00AF5E7F">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 xml:space="preserve">Block Grant &amp; </w:t>
            </w:r>
          </w:p>
          <w:p w:rsidR="00F80C11" w:rsidRPr="00174EF8" w:rsidRDefault="00AF5E7F" w:rsidP="00AF5E7F">
            <w:pPr>
              <w:spacing w:after="0" w:line="240" w:lineRule="auto"/>
              <w:rPr>
                <w:rFonts w:ascii="Times New Roman" w:eastAsia="Times New Roman" w:hAnsi="Times New Roman"/>
                <w:sz w:val="24"/>
                <w:szCs w:val="24"/>
              </w:rPr>
            </w:pPr>
            <w:r w:rsidRPr="00AF5E7F">
              <w:rPr>
                <w:rFonts w:ascii="Arial" w:eastAsia="Times New Roman" w:hAnsi="Arial" w:cs="Arial"/>
                <w:b/>
                <w:noProof/>
                <w:sz w:val="16"/>
                <w:szCs w:val="16"/>
              </w:rPr>
              <w:t>Fund 41</w:t>
            </w:r>
            <w:r w:rsidR="00F80C11" w:rsidRPr="00174EF8">
              <w:rPr>
                <w:rFonts w:ascii="Arial" w:eastAsia="Times New Roman" w:hAnsi="Arial" w:cs="Arial"/>
                <w:b/>
                <w:sz w:val="16"/>
                <w:szCs w:val="16"/>
              </w:rPr>
              <w:fldChar w:fldCharType="end"/>
            </w:r>
          </w:p>
        </w:tc>
        <w:tc>
          <w:tcPr>
            <w:tcW w:w="135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See above</w:t>
            </w:r>
            <w:r w:rsidRPr="00174EF8">
              <w:rPr>
                <w:rFonts w:ascii="Arial" w:eastAsia="Times New Roman" w:hAnsi="Arial" w:cs="Arial"/>
                <w:b/>
                <w:sz w:val="16"/>
                <w:szCs w:val="16"/>
              </w:rPr>
              <w:fldChar w:fldCharType="end"/>
            </w:r>
          </w:p>
        </w:tc>
        <w:tc>
          <w:tcPr>
            <w:tcW w:w="1440" w:type="dxa"/>
          </w:tcPr>
          <w:p w:rsidR="00F80C11" w:rsidRPr="00174EF8" w:rsidRDefault="00F80C11" w:rsidP="00F340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sidRPr="006F7F1B">
              <w:rPr>
                <w:rFonts w:ascii="Arial" w:eastAsia="Times New Roman" w:hAnsi="Arial" w:cs="Arial"/>
                <w:b/>
                <w:noProof/>
                <w:sz w:val="16"/>
                <w:szCs w:val="16"/>
              </w:rPr>
              <w:t>$</w:t>
            </w:r>
            <w:r w:rsidR="00F3404E">
              <w:rPr>
                <w:rFonts w:ascii="Arial" w:eastAsia="Times New Roman" w:hAnsi="Arial" w:cs="Arial"/>
                <w:b/>
                <w:noProof/>
                <w:sz w:val="16"/>
                <w:szCs w:val="16"/>
              </w:rPr>
              <w:t>623.70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6F7F1B">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F7F1B">
              <w:rPr>
                <w:rFonts w:ascii="Arial" w:eastAsia="Times New Roman" w:hAnsi="Arial" w:cs="Arial"/>
                <w:b/>
                <w:noProof/>
                <w:sz w:val="16"/>
                <w:szCs w:val="16"/>
              </w:rPr>
              <w:t>2100q portable turbidity meter</w:t>
            </w:r>
            <w:r>
              <w:rPr>
                <w:rFonts w:ascii="Arial" w:eastAsia="Times New Roman" w:hAnsi="Arial" w:cs="Arial"/>
                <w:b/>
                <w:sz w:val="16"/>
                <w:szCs w:val="16"/>
              </w:rPr>
              <w:fldChar w:fldCharType="end"/>
            </w:r>
          </w:p>
        </w:tc>
        <w:tc>
          <w:tcPr>
            <w:tcW w:w="990" w:type="dxa"/>
          </w:tcPr>
          <w:p w:rsidR="00AF5E7F" w:rsidRPr="00AF5E7F" w:rsidRDefault="00F80C11" w:rsidP="00AF5E7F">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 xml:space="preserve">Block Grant &amp; </w:t>
            </w:r>
          </w:p>
          <w:p w:rsidR="00F80C11" w:rsidRPr="00174EF8" w:rsidRDefault="00AF5E7F" w:rsidP="00AF5E7F">
            <w:pPr>
              <w:spacing w:after="0" w:line="240" w:lineRule="auto"/>
              <w:rPr>
                <w:rFonts w:ascii="Times New Roman" w:eastAsia="Times New Roman" w:hAnsi="Times New Roman"/>
                <w:sz w:val="24"/>
                <w:szCs w:val="24"/>
              </w:rPr>
            </w:pPr>
            <w:r w:rsidRPr="00AF5E7F">
              <w:rPr>
                <w:rFonts w:ascii="Arial" w:eastAsia="Times New Roman" w:hAnsi="Arial" w:cs="Arial"/>
                <w:b/>
                <w:noProof/>
                <w:sz w:val="16"/>
                <w:szCs w:val="16"/>
              </w:rPr>
              <w:t>Fund 41</w:t>
            </w:r>
            <w:r w:rsidR="00F80C11" w:rsidRPr="00174EF8">
              <w:rPr>
                <w:rFonts w:ascii="Arial" w:eastAsia="Times New Roman" w:hAnsi="Arial" w:cs="Arial"/>
                <w:b/>
                <w:sz w:val="16"/>
                <w:szCs w:val="16"/>
              </w:rPr>
              <w:fldChar w:fldCharType="end"/>
            </w:r>
          </w:p>
        </w:tc>
        <w:tc>
          <w:tcPr>
            <w:tcW w:w="135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AF5E7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F5E7F" w:rsidRPr="00AF5E7F">
              <w:rPr>
                <w:rFonts w:ascii="Arial" w:eastAsia="Times New Roman" w:hAnsi="Arial" w:cs="Arial"/>
                <w:b/>
                <w:noProof/>
                <w:sz w:val="16"/>
                <w:szCs w:val="16"/>
              </w:rPr>
              <w:t>See above</w:t>
            </w:r>
            <w:r w:rsidRPr="00174EF8">
              <w:rPr>
                <w:rFonts w:ascii="Arial" w:eastAsia="Times New Roman" w:hAnsi="Arial" w:cs="Arial"/>
                <w:b/>
                <w:sz w:val="16"/>
                <w:szCs w:val="16"/>
              </w:rPr>
              <w:fldChar w:fldCharType="end"/>
            </w:r>
          </w:p>
        </w:tc>
        <w:tc>
          <w:tcPr>
            <w:tcW w:w="1440" w:type="dxa"/>
          </w:tcPr>
          <w:p w:rsidR="00F80C11" w:rsidRPr="00174EF8" w:rsidRDefault="00F80C11" w:rsidP="00F340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F7F1B">
              <w:rPr>
                <w:rFonts w:ascii="Arial" w:eastAsia="Times New Roman" w:hAnsi="Arial" w:cs="Arial"/>
                <w:b/>
                <w:sz w:val="16"/>
                <w:szCs w:val="16"/>
              </w:rPr>
              <w:t>$3,</w:t>
            </w:r>
            <w:r w:rsidR="00F3404E">
              <w:rPr>
                <w:rFonts w:ascii="Arial" w:eastAsia="Times New Roman" w:hAnsi="Arial" w:cs="Arial"/>
                <w:b/>
                <w:sz w:val="16"/>
                <w:szCs w:val="16"/>
              </w:rPr>
              <w:t>428.70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BC7BB1"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B1" w:rsidRDefault="00BC7BB1" w:rsidP="002C5830">
      <w:pPr>
        <w:spacing w:after="0" w:line="240" w:lineRule="auto"/>
      </w:pPr>
      <w:r>
        <w:separator/>
      </w:r>
    </w:p>
  </w:endnote>
  <w:endnote w:type="continuationSeparator" w:id="0">
    <w:p w:rsidR="00BC7BB1" w:rsidRDefault="00BC7BB1"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9C" w:rsidRDefault="0006139C"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06139C" w:rsidRDefault="0006139C"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06139C" w:rsidRPr="00B61D65" w:rsidRDefault="0006139C"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06139C" w:rsidRPr="00C42974" w:rsidRDefault="0006139C"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BC7BB1" w:rsidRPr="00BC7BB1">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B1" w:rsidRDefault="00BC7BB1" w:rsidP="002C5830">
      <w:pPr>
        <w:spacing w:after="0" w:line="240" w:lineRule="auto"/>
      </w:pPr>
      <w:r>
        <w:separator/>
      </w:r>
    </w:p>
  </w:footnote>
  <w:footnote w:type="continuationSeparator" w:id="0">
    <w:p w:rsidR="00BC7BB1" w:rsidRDefault="00BC7BB1"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9C" w:rsidRPr="00F61877" w:rsidRDefault="0006139C" w:rsidP="00611FB1">
    <w:pPr>
      <w:spacing w:after="0" w:line="240" w:lineRule="auto"/>
      <w:ind w:left="-180" w:right="-90"/>
      <w:jc w:val="center"/>
      <w:rPr>
        <w:b/>
        <w:sz w:val="28"/>
        <w:szCs w:val="28"/>
        <w:u w:val="single"/>
      </w:rPr>
    </w:pPr>
    <w:r>
      <w:rPr>
        <w:b/>
        <w:sz w:val="28"/>
        <w:szCs w:val="28"/>
      </w:rPr>
      <w:t xml:space="preserve">                                                                              </w:t>
    </w:r>
  </w:p>
  <w:p w:rsidR="0006139C" w:rsidRPr="009423EC" w:rsidRDefault="0006139C"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dIoqc/ddgfRFzjCHweiNL7z+rGg=" w:salt="cTozKMb/jXvp3Qf1b+dYAA=="/>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553F1"/>
    <w:rsid w:val="00060D3A"/>
    <w:rsid w:val="0006139C"/>
    <w:rsid w:val="0006494C"/>
    <w:rsid w:val="00070A5C"/>
    <w:rsid w:val="00070CA7"/>
    <w:rsid w:val="00081677"/>
    <w:rsid w:val="000835F1"/>
    <w:rsid w:val="00085786"/>
    <w:rsid w:val="00087D50"/>
    <w:rsid w:val="00091E6E"/>
    <w:rsid w:val="00096921"/>
    <w:rsid w:val="00096BD7"/>
    <w:rsid w:val="00097BCE"/>
    <w:rsid w:val="000A0007"/>
    <w:rsid w:val="000A0BB4"/>
    <w:rsid w:val="000B0707"/>
    <w:rsid w:val="000B1EEF"/>
    <w:rsid w:val="000C35C8"/>
    <w:rsid w:val="000C3FCD"/>
    <w:rsid w:val="000C6A87"/>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766F9"/>
    <w:rsid w:val="001815D7"/>
    <w:rsid w:val="001817F7"/>
    <w:rsid w:val="00191B70"/>
    <w:rsid w:val="00193BDB"/>
    <w:rsid w:val="001A3EE4"/>
    <w:rsid w:val="001A5B52"/>
    <w:rsid w:val="001B0F65"/>
    <w:rsid w:val="001C6FEE"/>
    <w:rsid w:val="001D1D32"/>
    <w:rsid w:val="001D36A6"/>
    <w:rsid w:val="001D3C3D"/>
    <w:rsid w:val="001D4B6C"/>
    <w:rsid w:val="001E0A60"/>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67DA6"/>
    <w:rsid w:val="002702DB"/>
    <w:rsid w:val="00275B96"/>
    <w:rsid w:val="00281D84"/>
    <w:rsid w:val="00284279"/>
    <w:rsid w:val="00286AA3"/>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48C9"/>
    <w:rsid w:val="003E7EAD"/>
    <w:rsid w:val="003F47D6"/>
    <w:rsid w:val="003F5CEA"/>
    <w:rsid w:val="004054FA"/>
    <w:rsid w:val="0041123B"/>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6286C"/>
    <w:rsid w:val="0047272D"/>
    <w:rsid w:val="00473087"/>
    <w:rsid w:val="0048033D"/>
    <w:rsid w:val="0048140B"/>
    <w:rsid w:val="00484209"/>
    <w:rsid w:val="00487126"/>
    <w:rsid w:val="004A6D0A"/>
    <w:rsid w:val="004A70F3"/>
    <w:rsid w:val="004B3D7C"/>
    <w:rsid w:val="004C2338"/>
    <w:rsid w:val="004C4AE9"/>
    <w:rsid w:val="004C6A66"/>
    <w:rsid w:val="004D3CA1"/>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5F7E1D"/>
    <w:rsid w:val="006115E7"/>
    <w:rsid w:val="00611FB1"/>
    <w:rsid w:val="00612471"/>
    <w:rsid w:val="006172C9"/>
    <w:rsid w:val="00624F43"/>
    <w:rsid w:val="0062567B"/>
    <w:rsid w:val="00626BFA"/>
    <w:rsid w:val="00630DDD"/>
    <w:rsid w:val="00631044"/>
    <w:rsid w:val="00631DF9"/>
    <w:rsid w:val="00633C87"/>
    <w:rsid w:val="00640AB5"/>
    <w:rsid w:val="006413D5"/>
    <w:rsid w:val="00645873"/>
    <w:rsid w:val="006500FE"/>
    <w:rsid w:val="00652193"/>
    <w:rsid w:val="00662183"/>
    <w:rsid w:val="0066341F"/>
    <w:rsid w:val="006720E1"/>
    <w:rsid w:val="00682DD4"/>
    <w:rsid w:val="00686C02"/>
    <w:rsid w:val="006954A6"/>
    <w:rsid w:val="006A0202"/>
    <w:rsid w:val="006A251A"/>
    <w:rsid w:val="006B2556"/>
    <w:rsid w:val="006B343E"/>
    <w:rsid w:val="006B3D8E"/>
    <w:rsid w:val="006B6219"/>
    <w:rsid w:val="006C7493"/>
    <w:rsid w:val="006D5CE8"/>
    <w:rsid w:val="006E165C"/>
    <w:rsid w:val="006E5143"/>
    <w:rsid w:val="006F281B"/>
    <w:rsid w:val="006F7F1B"/>
    <w:rsid w:val="00700E7C"/>
    <w:rsid w:val="00704131"/>
    <w:rsid w:val="00714F5B"/>
    <w:rsid w:val="00722002"/>
    <w:rsid w:val="00726131"/>
    <w:rsid w:val="0073127D"/>
    <w:rsid w:val="00740F21"/>
    <w:rsid w:val="00744040"/>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70773"/>
    <w:rsid w:val="00890C10"/>
    <w:rsid w:val="00890DB2"/>
    <w:rsid w:val="00896967"/>
    <w:rsid w:val="008A28F5"/>
    <w:rsid w:val="008A2C1A"/>
    <w:rsid w:val="008A4F5E"/>
    <w:rsid w:val="008B196F"/>
    <w:rsid w:val="008B408E"/>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0DEF"/>
    <w:rsid w:val="00AC33C5"/>
    <w:rsid w:val="00AC4415"/>
    <w:rsid w:val="00AC56F1"/>
    <w:rsid w:val="00AE1774"/>
    <w:rsid w:val="00AE5216"/>
    <w:rsid w:val="00AE7BD0"/>
    <w:rsid w:val="00AF5E7F"/>
    <w:rsid w:val="00B00765"/>
    <w:rsid w:val="00B0207B"/>
    <w:rsid w:val="00B02664"/>
    <w:rsid w:val="00B03BB5"/>
    <w:rsid w:val="00B13943"/>
    <w:rsid w:val="00B216FE"/>
    <w:rsid w:val="00B2217F"/>
    <w:rsid w:val="00B236DD"/>
    <w:rsid w:val="00B32442"/>
    <w:rsid w:val="00B408C8"/>
    <w:rsid w:val="00B40E90"/>
    <w:rsid w:val="00B42350"/>
    <w:rsid w:val="00B42E6C"/>
    <w:rsid w:val="00B52643"/>
    <w:rsid w:val="00B52F54"/>
    <w:rsid w:val="00B61503"/>
    <w:rsid w:val="00B61D65"/>
    <w:rsid w:val="00B624B0"/>
    <w:rsid w:val="00B676F3"/>
    <w:rsid w:val="00B705B8"/>
    <w:rsid w:val="00B713F4"/>
    <w:rsid w:val="00B718BD"/>
    <w:rsid w:val="00B7472C"/>
    <w:rsid w:val="00B756D8"/>
    <w:rsid w:val="00B77348"/>
    <w:rsid w:val="00B81144"/>
    <w:rsid w:val="00B865A0"/>
    <w:rsid w:val="00B86F29"/>
    <w:rsid w:val="00B86F2C"/>
    <w:rsid w:val="00B903C1"/>
    <w:rsid w:val="00B904E2"/>
    <w:rsid w:val="00BA3898"/>
    <w:rsid w:val="00BA4534"/>
    <w:rsid w:val="00BA7AF8"/>
    <w:rsid w:val="00BA7D1A"/>
    <w:rsid w:val="00BB0949"/>
    <w:rsid w:val="00BB3DDB"/>
    <w:rsid w:val="00BC2465"/>
    <w:rsid w:val="00BC34DC"/>
    <w:rsid w:val="00BC4C52"/>
    <w:rsid w:val="00BC7BB1"/>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D77"/>
    <w:rsid w:val="00DA6500"/>
    <w:rsid w:val="00DA765A"/>
    <w:rsid w:val="00DB060C"/>
    <w:rsid w:val="00DB451E"/>
    <w:rsid w:val="00DB65E4"/>
    <w:rsid w:val="00DC2A0D"/>
    <w:rsid w:val="00DC59D0"/>
    <w:rsid w:val="00DD2096"/>
    <w:rsid w:val="00DD3122"/>
    <w:rsid w:val="00DD4489"/>
    <w:rsid w:val="00DD4DC0"/>
    <w:rsid w:val="00DD5E2E"/>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404E"/>
    <w:rsid w:val="00F3657F"/>
    <w:rsid w:val="00F44833"/>
    <w:rsid w:val="00F60B2E"/>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B5118"/>
    <w:rsid w:val="00FC1AD8"/>
    <w:rsid w:val="00FC2680"/>
    <w:rsid w:val="00FD2F7C"/>
    <w:rsid w:val="00FD787E"/>
    <w:rsid w:val="00FE1644"/>
    <w:rsid w:val="00FE20C9"/>
    <w:rsid w:val="00FE2190"/>
    <w:rsid w:val="00FE3BE0"/>
    <w:rsid w:val="00FF3AA1"/>
    <w:rsid w:val="00FF47FE"/>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01BF9-DB2A-4364-A159-8CDBA8BD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27795</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2015-02-12T17:00:00Z</dcterms:created>
  <dcterms:modified xsi:type="dcterms:W3CDTF">2015-02-12T17:00:00Z</dcterms:modified>
</cp:coreProperties>
</file>