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1C7EC1" w:rsidRDefault="00AE5216" w:rsidP="00A97E85">
            <w:pPr>
              <w:spacing w:after="0"/>
              <w:rPr>
                <w:rFonts w:ascii="Arial" w:hAnsi="Arial" w:cs="Arial"/>
                <w:b/>
                <w:sz w:val="18"/>
                <w:szCs w:val="18"/>
                <w:highlight w:val="lightGray"/>
                <w:u w:val="single"/>
              </w:rPr>
            </w:pPr>
            <w:r w:rsidRPr="001C7EC1">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1C7EC1">
              <w:rPr>
                <w:b/>
                <w:sz w:val="24"/>
                <w:szCs w:val="24"/>
                <w:highlight w:val="lightGray"/>
                <w:u w:val="single"/>
              </w:rPr>
            </w:r>
            <w:r w:rsidRPr="001C7EC1">
              <w:rPr>
                <w:b/>
                <w:sz w:val="24"/>
                <w:szCs w:val="24"/>
                <w:highlight w:val="lightGray"/>
                <w:u w:val="single"/>
              </w:rPr>
              <w:fldChar w:fldCharType="separate"/>
            </w:r>
            <w:r w:rsidR="001C7EC1" w:rsidRPr="001C7EC1">
              <w:rPr>
                <w:b/>
                <w:noProof/>
                <w:sz w:val="24"/>
                <w:szCs w:val="24"/>
                <w:u w:val="single"/>
              </w:rPr>
              <w:t>InstSuppt&amp;Other:  Dean’s Office - CT&amp;EE</w:t>
            </w:r>
            <w:r w:rsidRPr="001C7EC1">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2B2F8D">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r w:rsidR="002B2F8D">
              <w:rPr>
                <w:b/>
                <w:noProof/>
                <w:sz w:val="24"/>
                <w:szCs w:val="24"/>
                <w:u w:val="single"/>
              </w:rPr>
              <w:t>2/12/15</w:t>
            </w:r>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E12A9E"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1" w:name="Participants"/>
          <w:p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B7749C">
              <w:rPr>
                <w:b/>
                <w:noProof/>
                <w:sz w:val="24"/>
                <w:szCs w:val="24"/>
                <w:shd w:val="pct12" w:color="auto" w:fill="BFBFBF"/>
              </w:rPr>
              <w:t>Wilma Owens, Donna DeYarman, Susan Garland</w:t>
            </w:r>
            <w:r w:rsidRPr="00A97E85">
              <w:rPr>
                <w:b/>
                <w:sz w:val="24"/>
                <w:szCs w:val="24"/>
                <w:shd w:val="pct12" w:color="auto" w:fill="BFBFBF"/>
              </w:rPr>
              <w:fldChar w:fldCharType="end"/>
            </w:r>
            <w:bookmarkEnd w:id="1"/>
          </w:p>
          <w:p w:rsidR="004E7A7F" w:rsidRPr="00A97E85" w:rsidRDefault="004E7A7F" w:rsidP="00F03DE9">
            <w:pPr>
              <w:rPr>
                <w:b/>
                <w:sz w:val="24"/>
                <w:szCs w:val="24"/>
              </w:rPr>
            </w:pPr>
          </w:p>
        </w:tc>
      </w:tr>
    </w:tbl>
    <w:p w:rsidR="001113FE" w:rsidRDefault="001113FE"/>
    <w:p w:rsidR="00ED0F2D" w:rsidRDefault="00ED0F2D"/>
    <w:p w:rsidR="00ED0F2D" w:rsidRDefault="00ED0F2D" w:rsidP="00312836">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312836" w:rsidTr="00312836">
        <w:tc>
          <w:tcPr>
            <w:tcW w:w="13176" w:type="dxa"/>
          </w:tcPr>
          <w:p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rsidR="00312836" w:rsidRDefault="00312836" w:rsidP="009526B9">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526B9">
              <w:rPr>
                <w:rFonts w:ascii="Times New Roman" w:hAnsi="Times New Roman"/>
                <w:noProof/>
                <w:sz w:val="24"/>
                <w:szCs w:val="24"/>
                <w:shd w:val="pct10" w:color="auto" w:fill="D9D9D9"/>
              </w:rPr>
              <w:t xml:space="preserve">Our outcomes were extremely positive.  Our first goal was to expend/allocate at least 99% of our Perkins allocation. We exceeded that.  Secondly, we set a goal to provide faculty the resources and technical support needed to  reduce all certificates to 30 or fewer units.  We have achieved approximately 90% of that goal.  Finally, we set a goal to make measurable improvements to services at the Centers and sites.  As measured by the number of complaints received, we have accomplished that goal.  </w:t>
            </w:r>
            <w:r w:rsidRPr="000E11CA">
              <w:rPr>
                <w:rFonts w:ascii="Times New Roman" w:hAnsi="Times New Roman"/>
                <w:noProof/>
                <w:sz w:val="24"/>
                <w:szCs w:val="24"/>
                <w:shd w:val="pct10" w:color="auto" w:fill="D9D9D9"/>
              </w:rPr>
              <w:fldChar w:fldCharType="end"/>
            </w:r>
          </w:p>
        </w:tc>
      </w:tr>
    </w:tbl>
    <w:p w:rsidR="00312836" w:rsidRDefault="00312836" w:rsidP="00312836">
      <w:pPr>
        <w:spacing w:after="0"/>
        <w:rPr>
          <w:rFonts w:ascii="Arial" w:hAnsi="Arial" w:cs="Arial"/>
          <w:sz w:val="24"/>
          <w:szCs w:val="24"/>
        </w:rPr>
      </w:pPr>
    </w:p>
    <w:p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completed 2013-14 PRP at </w:t>
      </w:r>
      <w:hyperlink r:id="rId10"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rsidR="009526B9" w:rsidRDefault="00E214F5" w:rsidP="009526B9">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526B9">
              <w:rPr>
                <w:rFonts w:ascii="Times New Roman" w:hAnsi="Times New Roman"/>
                <w:noProof/>
                <w:sz w:val="24"/>
                <w:szCs w:val="24"/>
                <w:shd w:val="pct10" w:color="auto" w:fill="D9D9D9"/>
              </w:rPr>
              <w:t xml:space="preserve">New goals include (a) Reinvigorating the Workforce and Community Development Unit. (Providing leadership for the regional adult education realignment project and (c) </w:t>
            </w:r>
            <w:r w:rsidR="00E22CD2">
              <w:rPr>
                <w:rFonts w:ascii="Times New Roman" w:hAnsi="Times New Roman"/>
                <w:noProof/>
                <w:sz w:val="24"/>
                <w:szCs w:val="24"/>
                <w:shd w:val="pct10" w:color="auto" w:fill="D9D9D9"/>
              </w:rPr>
              <w:t xml:space="preserve">Increasing business/industry contacts. </w:t>
            </w:r>
          </w:p>
          <w:p w:rsidR="00E214F5" w:rsidRDefault="00E214F5" w:rsidP="009526B9">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C976F3" w:rsidRDefault="001D265E" w:rsidP="00C976F3">
      <w:pPr>
        <w:spacing w:after="0" w:line="240" w:lineRule="auto"/>
        <w:rPr>
          <w:rFonts w:ascii="Arial" w:hAnsi="Arial" w:cs="Arial"/>
          <w:i/>
          <w:color w:val="FF0000"/>
          <w:sz w:val="24"/>
          <w:szCs w:val="24"/>
        </w:rPr>
      </w:pPr>
      <w:r>
        <w:rPr>
          <w:b/>
          <w:sz w:val="28"/>
          <w:szCs w:val="28"/>
          <w:u w:val="single"/>
        </w:rPr>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 xml:space="preserve">. </w:t>
      </w:r>
      <w:hyperlink r:id="rId11" w:history="1">
        <w:r w:rsidR="00C976F3"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rsidR="00FC6B72" w:rsidRDefault="00FC6B72" w:rsidP="00C976F3">
      <w:pPr>
        <w:spacing w:after="0" w:line="240" w:lineRule="auto"/>
        <w:rPr>
          <w:rFonts w:ascii="Arial" w:hAnsi="Arial" w:cs="Arial"/>
          <w:color w:val="000000" w:themeColor="text1"/>
          <w:sz w:val="24"/>
          <w:szCs w:val="24"/>
        </w:rPr>
      </w:pPr>
    </w:p>
    <w:p w:rsidR="005A0D45" w:rsidRPr="00AC4415" w:rsidRDefault="005A0D45" w:rsidP="00C976F3">
      <w:pPr>
        <w:spacing w:after="0" w:line="240" w:lineRule="auto"/>
        <w:rPr>
          <w:rFonts w:ascii="Arial" w:hAnsi="Arial" w:cs="Arial"/>
          <w:color w:val="000000" w:themeColor="text1"/>
          <w:sz w:val="24"/>
          <w:szCs w:val="24"/>
        </w:rPr>
      </w:pPr>
      <w:r w:rsidRPr="00806CF0">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0E2CA8" w:rsidRDefault="000E2CA8" w:rsidP="00C976F3">
      <w:pPr>
        <w:spacing w:after="0" w:line="240" w:lineRule="auto"/>
        <w:rPr>
          <w:b/>
          <w:i/>
          <w:sz w:val="24"/>
          <w:szCs w:val="24"/>
        </w:rPr>
      </w:pPr>
    </w:p>
    <w:p w:rsidR="001D265E" w:rsidRDefault="001D265E"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2"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E12A9E" w:rsidP="00C976F3">
            <w:pPr>
              <w:spacing w:after="0" w:line="240" w:lineRule="auto"/>
              <w:jc w:val="center"/>
              <w:rPr>
                <w:rFonts w:ascii="Arial" w:eastAsia="Times New Roman" w:hAnsi="Arial" w:cs="Arial"/>
                <w:b/>
                <w:sz w:val="16"/>
                <w:szCs w:val="16"/>
              </w:rPr>
            </w:pPr>
            <w:hyperlink r:id="rId1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r w:rsidR="00C976F3" w:rsidRPr="00806CF0">
              <w:rPr>
                <w:rStyle w:val="Hyperlink"/>
                <w:rFonts w:ascii="Arial" w:eastAsia="Times New Roman" w:hAnsi="Arial" w:cs="Arial"/>
                <w:b/>
                <w:color w:val="C00000"/>
                <w:sz w:val="20"/>
                <w:szCs w:val="20"/>
                <w:u w:val="none"/>
              </w:rPr>
              <w:t xml:space="preserve"> </w:t>
            </w:r>
            <w:r w:rsidR="005A0D45" w:rsidRPr="00806CF0">
              <w:rPr>
                <w:rStyle w:val="Hyperlink"/>
                <w:rFonts w:ascii="Arial" w:eastAsia="Times New Roman" w:hAnsi="Arial" w:cs="Arial"/>
                <w:b/>
                <w:color w:val="C00000"/>
                <w:sz w:val="20"/>
                <w:szCs w:val="20"/>
                <w:u w:val="none"/>
              </w:rPr>
              <w:br/>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4"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E12A9E" w:rsidP="00C976F3">
            <w:pPr>
              <w:spacing w:after="0" w:line="240" w:lineRule="auto"/>
              <w:jc w:val="center"/>
              <w:rPr>
                <w:rFonts w:ascii="Arial" w:eastAsia="Times New Roman" w:hAnsi="Arial" w:cs="Arial"/>
                <w:b/>
                <w:sz w:val="16"/>
                <w:szCs w:val="16"/>
              </w:rPr>
            </w:pPr>
            <w:hyperlink r:id="rId15"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4F5296">
      <w:pPr>
        <w:spacing w:after="0" w:line="240" w:lineRule="auto"/>
        <w:rPr>
          <w:b/>
          <w:sz w:val="24"/>
          <w:szCs w:val="24"/>
        </w:rPr>
      </w:pPr>
    </w:p>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6"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12A9E" w:rsidP="009D6DC9">
            <w:pPr>
              <w:spacing w:after="0" w:line="240" w:lineRule="auto"/>
              <w:jc w:val="center"/>
              <w:rPr>
                <w:rFonts w:ascii="Arial" w:eastAsia="Times New Roman" w:hAnsi="Arial" w:cs="Arial"/>
                <w:b/>
                <w:sz w:val="16"/>
                <w:szCs w:val="16"/>
              </w:rPr>
            </w:pPr>
            <w:hyperlink r:id="rId17"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12A9E" w:rsidP="009D6DC9">
            <w:pPr>
              <w:spacing w:after="0" w:line="240" w:lineRule="auto"/>
              <w:jc w:val="center"/>
              <w:rPr>
                <w:rFonts w:ascii="Arial" w:eastAsia="Times New Roman" w:hAnsi="Arial" w:cs="Arial"/>
                <w:b/>
                <w:sz w:val="16"/>
                <w:szCs w:val="16"/>
              </w:rPr>
            </w:pPr>
            <w:hyperlink r:id="rId19"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E87C57">
      <w:pPr>
        <w:spacing w:before="100" w:after="0" w:line="240" w:lineRule="auto"/>
        <w:rPr>
          <w:b/>
          <w:color w:val="000000" w:themeColor="text1"/>
          <w:sz w:val="24"/>
          <w:szCs w:val="24"/>
        </w:rPr>
      </w:pPr>
    </w:p>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E12A9E" w:rsidP="00CC6969">
            <w:pPr>
              <w:spacing w:after="0" w:line="240" w:lineRule="auto"/>
              <w:jc w:val="center"/>
              <w:rPr>
                <w:rFonts w:ascii="Arial" w:eastAsia="Times New Roman" w:hAnsi="Arial" w:cs="Arial"/>
                <w:b/>
                <w:sz w:val="16"/>
                <w:szCs w:val="16"/>
              </w:rPr>
            </w:pPr>
            <w:hyperlink r:id="rId20"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12A9E" w:rsidP="009D6DC9">
            <w:pPr>
              <w:spacing w:after="0" w:line="240" w:lineRule="auto"/>
              <w:jc w:val="center"/>
              <w:rPr>
                <w:rFonts w:ascii="Arial" w:eastAsia="Times New Roman" w:hAnsi="Arial" w:cs="Arial"/>
                <w:b/>
                <w:sz w:val="16"/>
                <w:szCs w:val="16"/>
              </w:rPr>
            </w:pPr>
            <w:hyperlink r:id="rId21"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B86F2C" w:rsidRPr="00626BFA" w:rsidRDefault="00D8567F" w:rsidP="00E87C57">
      <w:pPr>
        <w:spacing w:after="0"/>
        <w:rPr>
          <w:rFonts w:ascii="Arial" w:hAnsi="Arial" w:cs="Arial"/>
          <w:sz w:val="24"/>
          <w:szCs w:val="24"/>
        </w:rPr>
      </w:pPr>
      <w:r>
        <w:rPr>
          <w:b/>
          <w:sz w:val="32"/>
          <w:szCs w:val="32"/>
          <w:u w:val="single"/>
        </w:rPr>
        <w:t xml:space="preserve"> </w:t>
      </w:r>
      <w:r w:rsidR="0086411A">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552E48">
              <w:rPr>
                <w:rFonts w:ascii="Arial" w:hAnsi="Arial" w:cs="Arial"/>
                <w:b/>
                <w:sz w:val="16"/>
                <w:szCs w:val="16"/>
              </w:rPr>
              <w:t>in Step I</w:t>
            </w:r>
            <w:r w:rsidR="00C24762">
              <w:rPr>
                <w:rFonts w:ascii="Arial" w:hAnsi="Arial" w:cs="Arial"/>
                <w:b/>
                <w:sz w:val="16"/>
                <w:szCs w:val="16"/>
              </w:rPr>
              <w:t>I</w:t>
            </w:r>
            <w:r w:rsidR="0086411A">
              <w:rPr>
                <w:rFonts w:ascii="Arial" w:hAnsi="Arial" w:cs="Arial"/>
                <w:b/>
                <w:sz w:val="16"/>
                <w:szCs w:val="16"/>
              </w:rPr>
              <w:t>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E12A9E" w:rsidP="00E87C57">
            <w:pPr>
              <w:spacing w:after="0" w:line="240" w:lineRule="auto"/>
              <w:jc w:val="center"/>
              <w:rPr>
                <w:rFonts w:ascii="Arial" w:eastAsia="Times New Roman" w:hAnsi="Arial" w:cs="Arial"/>
                <w:b/>
                <w:sz w:val="16"/>
                <w:szCs w:val="16"/>
              </w:rPr>
            </w:pPr>
            <w:hyperlink r:id="rId22"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E12A9E" w:rsidP="00C24762">
            <w:pPr>
              <w:spacing w:after="0" w:line="240" w:lineRule="auto"/>
              <w:jc w:val="center"/>
              <w:rPr>
                <w:rFonts w:ascii="Arial" w:eastAsia="Times New Roman" w:hAnsi="Arial" w:cs="Arial"/>
                <w:b/>
                <w:sz w:val="16"/>
                <w:szCs w:val="16"/>
              </w:rPr>
            </w:pPr>
            <w:hyperlink r:id="rId23"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B7749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749C">
              <w:rPr>
                <w:rFonts w:ascii="Arial" w:eastAsia="Times New Roman" w:hAnsi="Arial" w:cs="Arial"/>
                <w:b/>
                <w:noProof/>
                <w:sz w:val="16"/>
                <w:szCs w:val="16"/>
              </w:rPr>
              <w:t>Director, Workforce and Community Development</w:t>
            </w:r>
            <w:r w:rsidRPr="00174EF8">
              <w:rPr>
                <w:rFonts w:ascii="Arial" w:eastAsia="Times New Roman" w:hAnsi="Arial" w:cs="Arial"/>
                <w:b/>
                <w:sz w:val="16"/>
                <w:szCs w:val="16"/>
              </w:rPr>
              <w:fldChar w:fldCharType="end"/>
            </w:r>
          </w:p>
        </w:tc>
        <w:tc>
          <w:tcPr>
            <w:tcW w:w="990" w:type="dxa"/>
          </w:tcPr>
          <w:p w:rsidR="00F80C11" w:rsidRPr="00174EF8" w:rsidRDefault="00F80C11" w:rsidP="00E260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sz w:val="16"/>
                <w:szCs w:val="16"/>
              </w:rPr>
              <w:t>212100</w:t>
            </w:r>
            <w:r w:rsidRPr="00174EF8">
              <w:rPr>
                <w:rFonts w:ascii="Arial" w:eastAsia="Times New Roman" w:hAnsi="Arial" w:cs="Arial"/>
                <w:b/>
                <w:sz w:val="16"/>
                <w:szCs w:val="16"/>
              </w:rPr>
              <w:fldChar w:fldCharType="end"/>
            </w:r>
          </w:p>
        </w:tc>
        <w:tc>
          <w:tcPr>
            <w:tcW w:w="1350" w:type="dxa"/>
          </w:tcPr>
          <w:p w:rsidR="00F80C11" w:rsidRPr="00174EF8" w:rsidRDefault="00F80C11" w:rsidP="00E260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sz w:val="16"/>
                <w:szCs w:val="16"/>
              </w:rPr>
              <w:t> </w:t>
            </w:r>
            <w:r w:rsidR="00E260DE">
              <w:rPr>
                <w:rFonts w:ascii="Arial" w:eastAsia="Times New Roman" w:hAnsi="Arial" w:cs="Arial"/>
                <w:b/>
                <w:sz w:val="16"/>
                <w:szCs w:val="16"/>
              </w:rPr>
              <w:t> </w:t>
            </w:r>
            <w:r w:rsidR="00E260DE">
              <w:rPr>
                <w:rFonts w:ascii="Arial" w:eastAsia="Times New Roman" w:hAnsi="Arial" w:cs="Arial"/>
                <w:b/>
                <w:sz w:val="16"/>
                <w:szCs w:val="16"/>
              </w:rPr>
              <w:t> </w:t>
            </w:r>
            <w:r w:rsidR="00E260DE">
              <w:rPr>
                <w:rFonts w:ascii="Arial" w:eastAsia="Times New Roman" w:hAnsi="Arial" w:cs="Arial"/>
                <w:b/>
                <w:sz w:val="16"/>
                <w:szCs w:val="16"/>
              </w:rPr>
              <w:t> </w:t>
            </w:r>
            <w:r w:rsidR="00E260D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E260DE" w:rsidRDefault="00F80C11" w:rsidP="00E260DE">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sz w:val="16"/>
                <w:szCs w:val="16"/>
              </w:rPr>
              <w:t>1.5</w:t>
            </w:r>
          </w:p>
          <w:p w:rsidR="00E260DE" w:rsidRDefault="00E260DE" w:rsidP="00E260DE">
            <w:pPr>
              <w:spacing w:after="0" w:line="240" w:lineRule="auto"/>
              <w:rPr>
                <w:rFonts w:ascii="Arial" w:eastAsia="Times New Roman" w:hAnsi="Arial" w:cs="Arial"/>
                <w:b/>
                <w:sz w:val="16"/>
                <w:szCs w:val="16"/>
              </w:rPr>
            </w:pPr>
            <w:r>
              <w:rPr>
                <w:rFonts w:ascii="Arial" w:eastAsia="Times New Roman" w:hAnsi="Arial" w:cs="Arial"/>
                <w:b/>
                <w:sz w:val="16"/>
                <w:szCs w:val="16"/>
              </w:rPr>
              <w:t>2.2</w:t>
            </w:r>
          </w:p>
          <w:p w:rsidR="00F80C11" w:rsidRPr="00174EF8" w:rsidRDefault="00E260DE" w:rsidP="00E260DE">
            <w:pPr>
              <w:spacing w:after="0" w:line="240" w:lineRule="auto"/>
              <w:rPr>
                <w:rFonts w:ascii="Times New Roman" w:eastAsia="Times New Roman" w:hAnsi="Times New Roman"/>
                <w:sz w:val="24"/>
                <w:szCs w:val="24"/>
              </w:rPr>
            </w:pPr>
            <w:r>
              <w:rPr>
                <w:rFonts w:ascii="Arial" w:eastAsia="Times New Roman" w:hAnsi="Arial" w:cs="Arial"/>
                <w:b/>
                <w:sz w:val="16"/>
                <w:szCs w:val="16"/>
              </w:rPr>
              <w:t>2.3</w:t>
            </w:r>
            <w:r w:rsidR="00F80C11" w:rsidRPr="00174EF8">
              <w:rPr>
                <w:rFonts w:ascii="Arial" w:eastAsia="Times New Roman" w:hAnsi="Arial" w:cs="Arial"/>
                <w:b/>
                <w:sz w:val="16"/>
                <w:szCs w:val="16"/>
              </w:rPr>
              <w:fldChar w:fldCharType="end"/>
            </w:r>
          </w:p>
        </w:tc>
        <w:tc>
          <w:tcPr>
            <w:tcW w:w="5400" w:type="dxa"/>
          </w:tcPr>
          <w:p w:rsidR="00F80C11" w:rsidRPr="00174EF8" w:rsidRDefault="00F80C11" w:rsidP="007A661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E75AD">
              <w:rPr>
                <w:rFonts w:ascii="Arial" w:eastAsia="Times New Roman" w:hAnsi="Arial" w:cs="Arial"/>
                <w:b/>
                <w:noProof/>
                <w:sz w:val="16"/>
                <w:szCs w:val="16"/>
              </w:rPr>
              <w:t xml:space="preserve">The college has reached a crucial crossroad.  We have to decide whether we really want to grow and whether we really want to serve our communities in new and exciting ways.  If the answer is yes, we have to staff an office of Community and Workforce Development.  Not all students come to us with transfer as an objective nor do all of our students want the traditional, semester long format.   In fact, most of our students have a myriad of other objectives; short term training, </w:t>
            </w:r>
            <w:r w:rsidR="00E260DE">
              <w:rPr>
                <w:rFonts w:ascii="Arial" w:eastAsia="Times New Roman" w:hAnsi="Arial" w:cs="Arial"/>
                <w:b/>
                <w:noProof/>
                <w:sz w:val="16"/>
                <w:szCs w:val="16"/>
              </w:rPr>
              <w:t xml:space="preserve">customized incumbent worker training, </w:t>
            </w:r>
            <w:r w:rsidR="00BE75AD">
              <w:rPr>
                <w:rFonts w:ascii="Arial" w:eastAsia="Times New Roman" w:hAnsi="Arial" w:cs="Arial"/>
                <w:b/>
                <w:noProof/>
                <w:sz w:val="16"/>
                <w:szCs w:val="16"/>
              </w:rPr>
              <w:t>not-for-credit education, learning a new (fun) skill.  My office receives calls almost daily with requests that fall in one or more of these categories but currently, we do not have a coordinated, district-wide way in whic</w:t>
            </w:r>
            <w:r w:rsidR="007A6614">
              <w:rPr>
                <w:rFonts w:ascii="Arial" w:eastAsia="Times New Roman" w:hAnsi="Arial" w:cs="Arial"/>
                <w:b/>
                <w:noProof/>
                <w:sz w:val="16"/>
                <w:szCs w:val="16"/>
              </w:rPr>
              <w:t>h</w:t>
            </w:r>
            <w:r w:rsidR="00BE75AD">
              <w:rPr>
                <w:rFonts w:ascii="Arial" w:eastAsia="Times New Roman" w:hAnsi="Arial" w:cs="Arial"/>
                <w:b/>
                <w:noProof/>
                <w:sz w:val="16"/>
                <w:szCs w:val="16"/>
              </w:rPr>
              <w:t xml:space="preserve"> to respond. </w:t>
            </w:r>
            <w:r w:rsidR="00E260DE">
              <w:rPr>
                <w:rFonts w:ascii="Arial" w:eastAsia="Times New Roman" w:hAnsi="Arial" w:cs="Arial"/>
                <w:b/>
                <w:noProof/>
                <w:sz w:val="16"/>
                <w:szCs w:val="16"/>
              </w:rPr>
              <w:t xml:space="preserve"> Reestablishing the office of Workforce and Community Development will be vital to the growth of the college an</w:t>
            </w:r>
            <w:r w:rsidR="00E408C9">
              <w:rPr>
                <w:rFonts w:ascii="Arial" w:eastAsia="Times New Roman" w:hAnsi="Arial" w:cs="Arial"/>
                <w:b/>
                <w:noProof/>
                <w:sz w:val="16"/>
                <w:szCs w:val="16"/>
              </w:rPr>
              <w:t>d</w:t>
            </w:r>
            <w:bookmarkStart w:id="2" w:name="_GoBack"/>
            <w:bookmarkEnd w:id="2"/>
            <w:r w:rsidR="00E260DE">
              <w:rPr>
                <w:rFonts w:ascii="Arial" w:eastAsia="Times New Roman" w:hAnsi="Arial" w:cs="Arial"/>
                <w:b/>
                <w:noProof/>
                <w:sz w:val="16"/>
                <w:szCs w:val="16"/>
              </w:rPr>
              <w:t xml:space="preserve"> will enable us to fully live up to our mission statement, fulfill Objectives 1.5, 2.2 and 2.3 of our Strategic Plan.</w:t>
            </w:r>
            <w:r w:rsidR="00BE75AD">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F80C11" w:rsidRPr="00174EF8" w:rsidRDefault="00F80C11" w:rsidP="00E22CD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noProof/>
                <w:sz w:val="16"/>
                <w:szCs w:val="16"/>
              </w:rPr>
              <w:t>$</w:t>
            </w:r>
            <w:r w:rsidR="00E22CD2">
              <w:rPr>
                <w:rFonts w:ascii="Arial" w:eastAsia="Times New Roman" w:hAnsi="Arial" w:cs="Arial"/>
                <w:b/>
                <w:noProof/>
                <w:sz w:val="16"/>
                <w:szCs w:val="16"/>
              </w:rPr>
              <w:t>122.300.00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B7749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749C">
              <w:rPr>
                <w:rFonts w:ascii="Arial" w:eastAsia="Times New Roman" w:hAnsi="Arial" w:cs="Arial"/>
                <w:b/>
                <w:noProof/>
                <w:sz w:val="16"/>
                <w:szCs w:val="16"/>
              </w:rPr>
              <w:t>Support staff</w:t>
            </w:r>
            <w:r w:rsidRPr="00174EF8">
              <w:rPr>
                <w:rFonts w:ascii="Arial" w:eastAsia="Times New Roman" w:hAnsi="Arial" w:cs="Arial"/>
                <w:b/>
                <w:sz w:val="16"/>
                <w:szCs w:val="16"/>
              </w:rPr>
              <w:fldChar w:fldCharType="end"/>
            </w:r>
          </w:p>
        </w:tc>
        <w:tc>
          <w:tcPr>
            <w:tcW w:w="990" w:type="dxa"/>
          </w:tcPr>
          <w:p w:rsidR="00F80C11" w:rsidRPr="00174EF8" w:rsidRDefault="00F80C11" w:rsidP="00E260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noProof/>
                <w:sz w:val="16"/>
                <w:szCs w:val="16"/>
              </w:rPr>
              <w:t>212200</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E260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5400" w:type="dxa"/>
          </w:tcPr>
          <w:p w:rsidR="00F80C11" w:rsidRPr="00174EF8" w:rsidRDefault="00F80C11" w:rsidP="00E260D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noProof/>
                <w:sz w:val="16"/>
                <w:szCs w:val="16"/>
              </w:rPr>
              <w:t>Provide support to the position above</w:t>
            </w:r>
            <w:r w:rsidRPr="00174EF8">
              <w:rPr>
                <w:rFonts w:ascii="Arial" w:eastAsia="Times New Roman" w:hAnsi="Arial" w:cs="Arial"/>
                <w:b/>
                <w:sz w:val="16"/>
                <w:szCs w:val="16"/>
              </w:rPr>
              <w:fldChar w:fldCharType="end"/>
            </w:r>
          </w:p>
        </w:tc>
        <w:tc>
          <w:tcPr>
            <w:tcW w:w="1440" w:type="dxa"/>
          </w:tcPr>
          <w:p w:rsidR="00F80C11" w:rsidRPr="00174EF8" w:rsidRDefault="00F80C11" w:rsidP="00E22CD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260DE">
              <w:rPr>
                <w:rFonts w:ascii="Arial" w:eastAsia="Times New Roman" w:hAnsi="Arial" w:cs="Arial"/>
                <w:b/>
                <w:noProof/>
                <w:sz w:val="16"/>
                <w:szCs w:val="16"/>
              </w:rPr>
              <w:t>$</w:t>
            </w:r>
            <w:r w:rsidR="00E22CD2">
              <w:rPr>
                <w:rFonts w:ascii="Arial" w:eastAsia="Times New Roman" w:hAnsi="Arial" w:cs="Arial"/>
                <w:b/>
                <w:noProof/>
                <w:sz w:val="16"/>
                <w:szCs w:val="16"/>
              </w:rPr>
              <w:t>79,840.00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4"/>
      <w:footerReference w:type="default" r:id="rId25"/>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9E" w:rsidRDefault="00E12A9E" w:rsidP="002C5830">
      <w:pPr>
        <w:spacing w:after="0" w:line="240" w:lineRule="auto"/>
      </w:pPr>
      <w:r>
        <w:separator/>
      </w:r>
    </w:p>
  </w:endnote>
  <w:endnote w:type="continuationSeparator" w:id="0">
    <w:p w:rsidR="00E12A9E" w:rsidRDefault="00E12A9E"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B9" w:rsidRDefault="009526B9"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9526B9" w:rsidRDefault="009526B9"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9526B9" w:rsidRPr="00B61D65" w:rsidRDefault="009526B9"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9526B9" w:rsidRPr="00C42974" w:rsidRDefault="009526B9"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E12A9E" w:rsidRPr="00E12A9E">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9E" w:rsidRDefault="00E12A9E" w:rsidP="002C5830">
      <w:pPr>
        <w:spacing w:after="0" w:line="240" w:lineRule="auto"/>
      </w:pPr>
      <w:r>
        <w:separator/>
      </w:r>
    </w:p>
  </w:footnote>
  <w:footnote w:type="continuationSeparator" w:id="0">
    <w:p w:rsidR="00E12A9E" w:rsidRDefault="00E12A9E"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B9" w:rsidRPr="00F61877" w:rsidRDefault="009526B9" w:rsidP="00611FB1">
    <w:pPr>
      <w:spacing w:after="0" w:line="240" w:lineRule="auto"/>
      <w:ind w:left="-180" w:right="-90"/>
      <w:jc w:val="center"/>
      <w:rPr>
        <w:b/>
        <w:sz w:val="28"/>
        <w:szCs w:val="28"/>
        <w:u w:val="single"/>
      </w:rPr>
    </w:pPr>
    <w:r>
      <w:rPr>
        <w:b/>
        <w:sz w:val="28"/>
        <w:szCs w:val="28"/>
      </w:rPr>
      <w:t xml:space="preserve">                                                                              </w:t>
    </w:r>
  </w:p>
  <w:p w:rsidR="009526B9" w:rsidRDefault="009526B9"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rsidR="009526B9" w:rsidRPr="009423EC" w:rsidRDefault="009526B9"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 xml:space="preserve">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w:t>
    </w:r>
    <w:r>
      <w:rPr>
        <w:rFonts w:ascii="Arial" w:hAnsi="Arial" w:cs="Arial"/>
        <w:color w:val="FF0000"/>
      </w:rPr>
      <w:t xml:space="preserve">Wellness Center, Women’s Studies, </w:t>
    </w:r>
    <w:r w:rsidRPr="00752C29">
      <w:rPr>
        <w:rFonts w:ascii="Arial" w:hAnsi="Arial" w:cs="Arial"/>
        <w:color w:val="FF0000"/>
      </w:rPr>
      <w:t>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Mu2kypTobmi8CSD7J8jiavAzNI=" w:salt="aW1iujjJCnf1/8vAdvZyq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36F"/>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815D7"/>
    <w:rsid w:val="001817F7"/>
    <w:rsid w:val="00186AE4"/>
    <w:rsid w:val="00191B70"/>
    <w:rsid w:val="001A3EE4"/>
    <w:rsid w:val="001A5B52"/>
    <w:rsid w:val="001B0F65"/>
    <w:rsid w:val="001C6FEE"/>
    <w:rsid w:val="001C7EC1"/>
    <w:rsid w:val="001D1D32"/>
    <w:rsid w:val="001D265E"/>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4B2B"/>
    <w:rsid w:val="002A6B28"/>
    <w:rsid w:val="002B0455"/>
    <w:rsid w:val="002B2F1D"/>
    <w:rsid w:val="002B2F8D"/>
    <w:rsid w:val="002B6DD3"/>
    <w:rsid w:val="002C2C65"/>
    <w:rsid w:val="002C3380"/>
    <w:rsid w:val="002C5830"/>
    <w:rsid w:val="002D46F0"/>
    <w:rsid w:val="002D49CB"/>
    <w:rsid w:val="002D7E1A"/>
    <w:rsid w:val="002E3A76"/>
    <w:rsid w:val="002E4C68"/>
    <w:rsid w:val="002F31F9"/>
    <w:rsid w:val="002F3BA9"/>
    <w:rsid w:val="002F7F73"/>
    <w:rsid w:val="00301D8C"/>
    <w:rsid w:val="00303364"/>
    <w:rsid w:val="00311263"/>
    <w:rsid w:val="00312836"/>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45C42"/>
    <w:rsid w:val="0055218D"/>
    <w:rsid w:val="005522F5"/>
    <w:rsid w:val="00552E48"/>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0D45"/>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58"/>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02F6"/>
    <w:rsid w:val="006F281B"/>
    <w:rsid w:val="00700E7C"/>
    <w:rsid w:val="00704131"/>
    <w:rsid w:val="00710B49"/>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6614"/>
    <w:rsid w:val="007A7386"/>
    <w:rsid w:val="007B64F6"/>
    <w:rsid w:val="007D0DBC"/>
    <w:rsid w:val="007D4EA8"/>
    <w:rsid w:val="007D57D9"/>
    <w:rsid w:val="007D7837"/>
    <w:rsid w:val="007D7938"/>
    <w:rsid w:val="007E033A"/>
    <w:rsid w:val="007F2A67"/>
    <w:rsid w:val="007F3462"/>
    <w:rsid w:val="00804429"/>
    <w:rsid w:val="00806CF0"/>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11A"/>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394"/>
    <w:rsid w:val="00924E22"/>
    <w:rsid w:val="00927505"/>
    <w:rsid w:val="00931010"/>
    <w:rsid w:val="00940ECD"/>
    <w:rsid w:val="009423EC"/>
    <w:rsid w:val="009458A9"/>
    <w:rsid w:val="00947C46"/>
    <w:rsid w:val="00950DEC"/>
    <w:rsid w:val="0095265D"/>
    <w:rsid w:val="009526B9"/>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02E8"/>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7749C"/>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E75AD"/>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2179"/>
    <w:rsid w:val="00C862E7"/>
    <w:rsid w:val="00C8669F"/>
    <w:rsid w:val="00C92DD5"/>
    <w:rsid w:val="00C96C42"/>
    <w:rsid w:val="00C976F3"/>
    <w:rsid w:val="00CA0AC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2A9E"/>
    <w:rsid w:val="00E1482A"/>
    <w:rsid w:val="00E1756F"/>
    <w:rsid w:val="00E20A81"/>
    <w:rsid w:val="00E214F5"/>
    <w:rsid w:val="00E22CD2"/>
    <w:rsid w:val="00E260DE"/>
    <w:rsid w:val="00E30CAA"/>
    <w:rsid w:val="00E344EF"/>
    <w:rsid w:val="00E36ADA"/>
    <w:rsid w:val="00E408C9"/>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6B72"/>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strategicplanning/PALOMAR_STRATEGICPLAN2016.pdf"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irp/2013CategoriesforPRPResourceRequests.pdf"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Collection.htm"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irp/2013CategoriesforPRPResourceRequests.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4E15-A94D-4227-90AD-6FB9C82D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22348</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2015-02-12T23:19:00Z</cp:lastPrinted>
  <dcterms:created xsi:type="dcterms:W3CDTF">2015-02-12T23:19:00Z</dcterms:created>
  <dcterms:modified xsi:type="dcterms:W3CDTF">2015-02-12T23:19:00Z</dcterms:modified>
</cp:coreProperties>
</file>