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D05DCB"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D05DCB">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D05DCB">
        <w:rPr>
          <w:rFonts w:ascii="Arial" w:hAnsi="Arial" w:cs="Arial"/>
          <w:b/>
          <w:sz w:val="28"/>
          <w:szCs w:val="28"/>
        </w:rPr>
      </w:r>
      <w:r w:rsidR="00D05DCB">
        <w:rPr>
          <w:rFonts w:ascii="Arial" w:hAnsi="Arial" w:cs="Arial"/>
          <w:b/>
          <w:sz w:val="28"/>
          <w:szCs w:val="28"/>
        </w:rPr>
        <w:fldChar w:fldCharType="separate"/>
      </w:r>
      <w:r w:rsidR="007C76D3">
        <w:rPr>
          <w:rFonts w:ascii="Arial" w:hAnsi="Arial" w:cs="Arial"/>
          <w:b/>
          <w:noProof/>
          <w:sz w:val="28"/>
          <w:szCs w:val="28"/>
        </w:rPr>
        <w:t>2010-11</w:t>
      </w:r>
      <w:r w:rsidR="00D05DCB">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021063" w:rsidRDefault="00D05DCB" w:rsidP="00C5292F">
            <w:pPr>
              <w:tabs>
                <w:tab w:val="left" w:pos="3600"/>
              </w:tabs>
              <w:spacing w:before="40"/>
              <w:rPr>
                <w:rFonts w:ascii="Arial" w:hAnsi="Arial" w:cs="Arial"/>
                <w:b/>
                <w:sz w:val="28"/>
                <w:szCs w:val="28"/>
                <w:u w:val="single"/>
              </w:rPr>
            </w:pPr>
            <w:r w:rsidRPr="00021063">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21063">
              <w:rPr>
                <w:rFonts w:ascii="Arial" w:hAnsi="Arial" w:cs="Arial"/>
                <w:b/>
                <w:sz w:val="28"/>
                <w:szCs w:val="28"/>
                <w:u w:val="single"/>
              </w:rPr>
            </w:r>
            <w:r w:rsidRPr="00021063">
              <w:rPr>
                <w:rFonts w:ascii="Arial" w:hAnsi="Arial" w:cs="Arial"/>
                <w:b/>
                <w:sz w:val="28"/>
                <w:szCs w:val="28"/>
                <w:u w:val="single"/>
              </w:rPr>
              <w:fldChar w:fldCharType="separate"/>
            </w:r>
            <w:r w:rsidR="00021063" w:rsidRPr="00021063">
              <w:rPr>
                <w:rFonts w:ascii="Arial" w:hAnsi="Arial" w:cs="Arial"/>
                <w:b/>
                <w:noProof/>
                <w:sz w:val="28"/>
                <w:szCs w:val="28"/>
                <w:u w:val="single"/>
              </w:rPr>
              <w:t>Discipline:  Health</w:t>
            </w:r>
            <w:r w:rsidRPr="00021063">
              <w:rPr>
                <w:rFonts w:ascii="Arial" w:hAnsi="Arial" w:cs="Arial"/>
                <w:b/>
                <w:sz w:val="28"/>
                <w:szCs w:val="28"/>
                <w:u w:val="single"/>
              </w:rPr>
              <w:fldChar w:fldCharType="end"/>
            </w:r>
            <w:bookmarkEnd w:id="2"/>
          </w:p>
        </w:tc>
        <w:bookmarkStart w:id="3" w:name="date"/>
        <w:tc>
          <w:tcPr>
            <w:tcW w:w="2088" w:type="dxa"/>
          </w:tcPr>
          <w:p w:rsidR="00C157E5" w:rsidRDefault="00D05DCB" w:rsidP="00B94C56">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r w:rsidR="00B94C56">
              <w:rPr>
                <w:rFonts w:ascii="Arial" w:hAnsi="Arial" w:cs="Arial"/>
                <w:b/>
                <w:noProof/>
                <w:sz w:val="28"/>
                <w:szCs w:val="28"/>
                <w:u w:val="single"/>
              </w:rPr>
              <w:t>3-10-11</w:t>
            </w:r>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021063" w:rsidTr="00021063">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021063" w:rsidRDefault="00021063">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021063" w:rsidRDefault="00021063">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021063" w:rsidRDefault="00021063">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021063" w:rsidRDefault="00021063">
            <w:pPr>
              <w:rPr>
                <w:rFonts w:ascii="Arial" w:hAnsi="Arial" w:cs="Arial"/>
                <w:sz w:val="20"/>
                <w:szCs w:val="20"/>
              </w:rPr>
            </w:pPr>
            <w:r>
              <w:rPr>
                <w:rFonts w:ascii="Arial" w:hAnsi="Arial" w:cs="Arial"/>
                <w:sz w:val="20"/>
                <w:szCs w:val="20"/>
              </w:rPr>
              <w:t> </w:t>
            </w:r>
          </w:p>
        </w:tc>
      </w:tr>
      <w:tr w:rsidR="00021063" w:rsidTr="00021063">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021063" w:rsidRDefault="00021063">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021063" w:rsidRDefault="00021063">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21063" w:rsidRDefault="00021063">
            <w:pPr>
              <w:jc w:val="center"/>
              <w:rPr>
                <w:rFonts w:ascii="Arial" w:hAnsi="Arial" w:cs="Arial"/>
                <w:b/>
                <w:bCs/>
                <w:sz w:val="20"/>
                <w:szCs w:val="20"/>
              </w:rPr>
            </w:pPr>
            <w:r>
              <w:rPr>
                <w:rFonts w:ascii="Arial" w:hAnsi="Arial" w:cs="Arial"/>
                <w:b/>
                <w:bCs/>
                <w:sz w:val="20"/>
                <w:szCs w:val="20"/>
              </w:rPr>
              <w:t>Definitions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2,136</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2,112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1,931</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2,015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i/>
                <w:iCs/>
                <w:sz w:val="16"/>
                <w:szCs w:val="16"/>
              </w:rPr>
            </w:pPr>
            <w:r>
              <w:rPr>
                <w:rFonts w:ascii="Arial" w:hAnsi="Arial" w:cs="Arial"/>
                <w:i/>
                <w:iCs/>
                <w:sz w:val="16"/>
                <w:szCs w:val="16"/>
              </w:rPr>
              <w:t>Self Explanatory</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91.52%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98.51%</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98.82%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105.72%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6,527</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6,453</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5,929</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6,195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Weekly Student Contact Hours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217.55</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215.10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197.62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206.49</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One Full-Time Equivalent Student = 30 WSCH</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6.73</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6.33</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5.60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5.60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Total Full-Time Equivalent Faculty</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970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1,019</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1,059</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1,106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3.09</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3.20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3.05</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3.90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FTEF from Contract Faculty</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2.80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2.03</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1.30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FTEF from Hourly Faculty</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0.84</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1.10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1.25</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0.70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FTEF from Contract Faculty Overload</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3.64</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3.13</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2.55</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1.70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Hourly FTEF + Overload FTEF</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54.04%</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49.46%</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45.54%</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30.36%</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21063" w:rsidTr="0002106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21063" w:rsidRDefault="0002106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021063" w:rsidRDefault="0002106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21063" w:rsidRDefault="0002106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95.27%</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96.03%</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95.80%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96.97%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68.52%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68.84%</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68.62%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74.78%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21063" w:rsidTr="00021063">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21063" w:rsidRDefault="00021063">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021063" w:rsidRDefault="00021063">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21063" w:rsidRDefault="00021063">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94.17%</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91.35%</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90.10%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97.78%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74.76%</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75.00%</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78.22%</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80.00%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21063" w:rsidTr="00021063">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21063" w:rsidRDefault="00021063">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21063" w:rsidRDefault="00021063">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21063" w:rsidRDefault="00021063">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4" w:name="StepIA"/>
      <w:tr w:rsidR="00184270" w:rsidTr="00183062">
        <w:trPr>
          <w:trHeight w:val="720"/>
        </w:trPr>
        <w:tc>
          <w:tcPr>
            <w:tcW w:w="14400" w:type="dxa"/>
          </w:tcPr>
          <w:p w:rsidR="00F244C0" w:rsidRPr="005D614D" w:rsidRDefault="00D05DCB" w:rsidP="00B94C56">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9E2C02">
              <w:rPr>
                <w:rFonts w:ascii="Arial" w:hAnsi="Arial" w:cs="Arial"/>
                <w:b/>
                <w:noProof/>
                <w:color w:val="000000"/>
                <w:sz w:val="20"/>
                <w:szCs w:val="20"/>
              </w:rPr>
              <w:t>One of our strongest disciplines within the Physical Education Department (Kinesiology effective Fall 2011).  It is clear the consistency the past four years indicates Health as being one of the leading institutional disciplines.  Enrollment to census exceeds 100% with Fall 2010 posting 105.7% and a WSCH/FTEF of 1106.  both distance and non-distant education courses ref</w:t>
            </w:r>
            <w:r w:rsidR="00B94C56">
              <w:rPr>
                <w:rFonts w:ascii="Arial" w:hAnsi="Arial" w:cs="Arial"/>
                <w:b/>
                <w:noProof/>
                <w:color w:val="000000"/>
                <w:sz w:val="20"/>
                <w:szCs w:val="20"/>
              </w:rPr>
              <w:t>lect</w:t>
            </w:r>
            <w:r w:rsidR="009E2C02">
              <w:rPr>
                <w:rFonts w:ascii="Arial" w:hAnsi="Arial" w:cs="Arial"/>
                <w:b/>
                <w:noProof/>
                <w:color w:val="000000"/>
                <w:sz w:val="20"/>
                <w:szCs w:val="20"/>
              </w:rPr>
              <w:t xml:space="preserve"> a 97% retention rate and 74/80% success rate respectively.  This indicates students remain enrolled and successfully complete our Health courses at a high rate.  A significant factor contributing to our steady improvement in the above areas, was the restructiong of our Health 100/100L format in the 2006/2007 academic year.  i.e. including a 1 unit lab as a co-requisite while expanding the lecture.</w:t>
            </w:r>
            <w:r>
              <w:rPr>
                <w:rFonts w:ascii="Arial" w:hAnsi="Arial" w:cs="Arial"/>
                <w:b/>
                <w:color w:val="000000"/>
                <w:sz w:val="20"/>
                <w:szCs w:val="20"/>
              </w:rPr>
              <w:fldChar w:fldCharType="end"/>
            </w:r>
            <w:bookmarkEnd w:id="4"/>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5" w:name="StepIB"/>
      <w:tr w:rsidR="005A648E" w:rsidTr="00C21C15">
        <w:trPr>
          <w:trHeight w:val="720"/>
        </w:trPr>
        <w:tc>
          <w:tcPr>
            <w:tcW w:w="14400" w:type="dxa"/>
          </w:tcPr>
          <w:p w:rsidR="005A648E" w:rsidRDefault="00D05DCB" w:rsidP="00D47DCD">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7DCD">
              <w:rPr>
                <w:rFonts w:ascii="Arial" w:hAnsi="Arial" w:cs="Arial"/>
                <w:b/>
                <w:color w:val="000000"/>
                <w:sz w:val="20"/>
                <w:szCs w:val="20"/>
              </w:rPr>
              <w:t>For Health courses, SLO assessments are scheduled to be conducted Spring 2011.  findings will be entered upon completion.</w:t>
            </w:r>
            <w:r>
              <w:rPr>
                <w:rFonts w:ascii="Arial" w:hAnsi="Arial" w:cs="Arial"/>
                <w:b/>
                <w:color w:val="000000"/>
                <w:sz w:val="20"/>
                <w:szCs w:val="20"/>
              </w:rPr>
              <w:fldChar w:fldCharType="end"/>
            </w:r>
            <w:bookmarkEnd w:id="5"/>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6" w:name="StepIC"/>
      <w:tr w:rsidR="005A648E" w:rsidTr="00D44A3A">
        <w:trPr>
          <w:trHeight w:val="720"/>
        </w:trPr>
        <w:tc>
          <w:tcPr>
            <w:tcW w:w="14400" w:type="dxa"/>
          </w:tcPr>
          <w:p w:rsidR="005A648E" w:rsidRPr="001F07E5" w:rsidRDefault="00D05DCB" w:rsidP="00B52EA1">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52EA1" w:rsidRPr="00B52EA1">
              <w:rPr>
                <w:rFonts w:ascii="Arial" w:hAnsi="Arial" w:cs="Arial"/>
                <w:b/>
                <w:color w:val="000000"/>
                <w:sz w:val="20"/>
                <w:szCs w:val="20"/>
              </w:rPr>
              <w:t>For Health courses, SLO assessments are scheduled to be conducted Spring 2011.  findings will be entered upon completion.</w:t>
            </w:r>
            <w:r>
              <w:rPr>
                <w:rFonts w:ascii="Arial" w:hAnsi="Arial" w:cs="Arial"/>
                <w:b/>
                <w:color w:val="000000"/>
                <w:sz w:val="20"/>
                <w:szCs w:val="20"/>
              </w:rPr>
              <w:fldChar w:fldCharType="end"/>
            </w:r>
            <w:bookmarkEnd w:id="6"/>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7" w:name="StepID"/>
      <w:tr w:rsidR="00F222BA" w:rsidTr="006D76EF">
        <w:trPr>
          <w:trHeight w:val="720"/>
        </w:trPr>
        <w:tc>
          <w:tcPr>
            <w:tcW w:w="14400" w:type="dxa"/>
          </w:tcPr>
          <w:p w:rsidR="00F222BA" w:rsidRDefault="00D05DCB"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E90226">
              <w:rPr>
                <w:rFonts w:ascii="Arial" w:hAnsi="Arial" w:cs="Arial"/>
                <w:b/>
                <w:color w:val="000000"/>
                <w:sz w:val="20"/>
                <w:szCs w:val="20"/>
              </w:rPr>
              <w:t> </w:t>
            </w:r>
            <w:r w:rsidR="00E90226">
              <w:rPr>
                <w:rFonts w:ascii="Arial" w:hAnsi="Arial" w:cs="Arial"/>
                <w:b/>
                <w:color w:val="000000"/>
                <w:sz w:val="20"/>
                <w:szCs w:val="20"/>
              </w:rPr>
              <w:t> </w:t>
            </w:r>
            <w:r w:rsidR="00E90226">
              <w:rPr>
                <w:rFonts w:ascii="Arial" w:hAnsi="Arial" w:cs="Arial"/>
                <w:b/>
                <w:color w:val="000000"/>
                <w:sz w:val="20"/>
                <w:szCs w:val="20"/>
              </w:rPr>
              <w:t> </w:t>
            </w:r>
            <w:r w:rsidR="00E90226">
              <w:rPr>
                <w:rFonts w:ascii="Arial" w:hAnsi="Arial" w:cs="Arial"/>
                <w:b/>
                <w:color w:val="000000"/>
                <w:sz w:val="20"/>
                <w:szCs w:val="20"/>
              </w:rPr>
              <w:t> </w:t>
            </w:r>
            <w:r w:rsidR="00E90226">
              <w:rPr>
                <w:rFonts w:ascii="Arial" w:hAnsi="Arial" w:cs="Arial"/>
                <w:b/>
                <w:color w:val="000000"/>
                <w:sz w:val="20"/>
                <w:szCs w:val="20"/>
              </w:rPr>
              <w:t> </w:t>
            </w:r>
            <w:r>
              <w:rPr>
                <w:rFonts w:ascii="Arial" w:hAnsi="Arial" w:cs="Arial"/>
                <w:b/>
                <w:color w:val="000000"/>
                <w:sz w:val="20"/>
                <w:szCs w:val="20"/>
              </w:rPr>
              <w:fldChar w:fldCharType="end"/>
            </w:r>
            <w:bookmarkEnd w:id="7"/>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8" w:name="StepIIA"/>
      <w:tr w:rsidR="003D0927" w:rsidTr="0021683C">
        <w:trPr>
          <w:trHeight w:val="720"/>
        </w:trPr>
        <w:tc>
          <w:tcPr>
            <w:tcW w:w="14400" w:type="dxa"/>
          </w:tcPr>
          <w:p w:rsidR="003D0927" w:rsidRDefault="00D05DCB" w:rsidP="00B94C56">
            <w:pPr>
              <w:spacing w:before="40" w:after="20"/>
              <w:ind w:right="288"/>
              <w:rPr>
                <w:rFonts w:ascii="Arial" w:hAnsi="Arial" w:cs="Arial"/>
                <w:b/>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E19FD">
              <w:rPr>
                <w:rFonts w:ascii="Arial" w:hAnsi="Arial" w:cs="Arial"/>
                <w:b/>
                <w:noProof/>
                <w:color w:val="000000"/>
                <w:sz w:val="20"/>
                <w:szCs w:val="20"/>
              </w:rPr>
              <w:t>The fut</w:t>
            </w:r>
            <w:r w:rsidR="002505E1">
              <w:rPr>
                <w:rFonts w:ascii="Arial" w:hAnsi="Arial" w:cs="Arial"/>
                <w:b/>
                <w:noProof/>
                <w:color w:val="000000"/>
                <w:sz w:val="20"/>
                <w:szCs w:val="20"/>
              </w:rPr>
              <w:t>u</w:t>
            </w:r>
            <w:r w:rsidR="00DE19FD">
              <w:rPr>
                <w:rFonts w:ascii="Arial" w:hAnsi="Arial" w:cs="Arial"/>
                <w:b/>
                <w:noProof/>
                <w:color w:val="000000"/>
                <w:sz w:val="20"/>
                <w:szCs w:val="20"/>
              </w:rPr>
              <w:t>re plan for the Health discipline is to expand its offerings while maintaining its high rate of success.  We have revised the Health Mana</w:t>
            </w:r>
            <w:r w:rsidR="0072163F">
              <w:rPr>
                <w:rFonts w:ascii="Arial" w:hAnsi="Arial" w:cs="Arial"/>
                <w:b/>
                <w:noProof/>
                <w:color w:val="000000"/>
                <w:sz w:val="20"/>
                <w:szCs w:val="20"/>
              </w:rPr>
              <w:t xml:space="preserve">gement Certificate Program to reflect the CSU/UC transfer Model.  </w:t>
            </w:r>
            <w:r w:rsidR="00B94C56">
              <w:rPr>
                <w:rFonts w:ascii="Arial" w:hAnsi="Arial" w:cs="Arial"/>
                <w:b/>
                <w:noProof/>
                <w:color w:val="000000"/>
                <w:sz w:val="20"/>
                <w:szCs w:val="20"/>
              </w:rPr>
              <w:t>T</w:t>
            </w:r>
            <w:r w:rsidR="0072163F">
              <w:rPr>
                <w:rFonts w:ascii="Arial" w:hAnsi="Arial" w:cs="Arial"/>
                <w:b/>
                <w:noProof/>
                <w:color w:val="000000"/>
                <w:sz w:val="20"/>
                <w:szCs w:val="20"/>
              </w:rPr>
              <w:t>his will affor</w:t>
            </w:r>
            <w:r w:rsidR="00B94C56">
              <w:rPr>
                <w:rFonts w:ascii="Arial" w:hAnsi="Arial" w:cs="Arial"/>
                <w:b/>
                <w:noProof/>
                <w:color w:val="000000"/>
                <w:sz w:val="20"/>
                <w:szCs w:val="20"/>
              </w:rPr>
              <w:t>d</w:t>
            </w:r>
            <w:r w:rsidR="0072163F">
              <w:rPr>
                <w:rFonts w:ascii="Arial" w:hAnsi="Arial" w:cs="Arial"/>
                <w:b/>
                <w:noProof/>
                <w:color w:val="000000"/>
                <w:sz w:val="20"/>
                <w:szCs w:val="20"/>
              </w:rPr>
              <w:t xml:space="preserve"> the student a more comprehensive program and realistic transfer model.  Expansion to take place at the San Marcos Campus and the new Pala Mesa campus.  Plans will include a fitness center, lecture rooms, fitness rooms, and testing labs to accommodate Health 100/ 100L</w:t>
            </w:r>
            <w:r w:rsidR="00B94C56">
              <w:rPr>
                <w:rFonts w:ascii="Arial" w:hAnsi="Arial" w:cs="Arial"/>
                <w:b/>
                <w:noProof/>
                <w:color w:val="000000"/>
                <w:sz w:val="20"/>
                <w:szCs w:val="20"/>
              </w:rPr>
              <w:t xml:space="preserve"> and</w:t>
            </w:r>
            <w:r w:rsidR="0072163F">
              <w:rPr>
                <w:rFonts w:ascii="Arial" w:hAnsi="Arial" w:cs="Arial"/>
                <w:b/>
                <w:noProof/>
                <w:color w:val="000000"/>
                <w:sz w:val="20"/>
                <w:szCs w:val="20"/>
              </w:rPr>
              <w:t xml:space="preserve"> Health 165 courses </w:t>
            </w:r>
            <w:r w:rsidR="00B94C56">
              <w:rPr>
                <w:rFonts w:ascii="Arial" w:hAnsi="Arial" w:cs="Arial"/>
                <w:b/>
                <w:noProof/>
                <w:color w:val="000000"/>
                <w:sz w:val="20"/>
                <w:szCs w:val="20"/>
              </w:rPr>
              <w:t>(</w:t>
            </w:r>
            <w:r w:rsidR="0072163F">
              <w:rPr>
                <w:rFonts w:ascii="Arial" w:hAnsi="Arial" w:cs="Arial"/>
                <w:b/>
                <w:noProof/>
                <w:color w:val="000000"/>
                <w:sz w:val="20"/>
                <w:szCs w:val="20"/>
              </w:rPr>
              <w:t xml:space="preserve">see attached Fallbrook).  </w:t>
            </w:r>
            <w:r w:rsidR="00B94C56">
              <w:rPr>
                <w:rFonts w:ascii="Arial" w:hAnsi="Arial" w:cs="Arial"/>
                <w:b/>
                <w:noProof/>
                <w:color w:val="000000"/>
                <w:sz w:val="20"/>
                <w:szCs w:val="20"/>
              </w:rPr>
              <w:t>T</w:t>
            </w:r>
            <w:r w:rsidR="0072163F">
              <w:rPr>
                <w:rFonts w:ascii="Arial" w:hAnsi="Arial" w:cs="Arial"/>
                <w:b/>
                <w:noProof/>
                <w:color w:val="000000"/>
                <w:sz w:val="20"/>
                <w:szCs w:val="20"/>
              </w:rPr>
              <w:t xml:space="preserve">his will enable our </w:t>
            </w:r>
            <w:r w:rsidR="0072163F">
              <w:rPr>
                <w:rFonts w:ascii="Arial" w:hAnsi="Arial" w:cs="Arial"/>
                <w:b/>
                <w:noProof/>
                <w:color w:val="000000"/>
                <w:sz w:val="20"/>
                <w:szCs w:val="20"/>
              </w:rPr>
              <w:lastRenderedPageBreak/>
              <w:t>discipline to meet goal 2, 4, and 5 of the college Strategic Plan 2013.</w:t>
            </w:r>
            <w:r>
              <w:rPr>
                <w:rFonts w:ascii="Arial" w:hAnsi="Arial" w:cs="Arial"/>
                <w:b/>
                <w:color w:val="000000"/>
                <w:sz w:val="20"/>
                <w:szCs w:val="20"/>
              </w:rPr>
              <w:fldChar w:fldCharType="end"/>
            </w:r>
            <w:bookmarkEnd w:id="8"/>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9" w:name="StepIIB"/>
      <w:tr w:rsidR="003D0927" w:rsidRPr="00B81877" w:rsidTr="00F1597E">
        <w:trPr>
          <w:trHeight w:val="720"/>
        </w:trPr>
        <w:tc>
          <w:tcPr>
            <w:tcW w:w="14400" w:type="dxa"/>
          </w:tcPr>
          <w:p w:rsidR="00696825" w:rsidRDefault="00D05DCB" w:rsidP="00696825">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696825">
              <w:rPr>
                <w:rFonts w:ascii="Arial" w:hAnsi="Arial" w:cs="Arial"/>
                <w:b/>
                <w:noProof/>
                <w:color w:val="000000"/>
                <w:sz w:val="20"/>
                <w:szCs w:val="20"/>
              </w:rPr>
              <w:t>Class scheduling for the discipline of Health Education will be enhanced with the e</w:t>
            </w:r>
            <w:r w:rsidR="00B94C56">
              <w:rPr>
                <w:rFonts w:ascii="Arial" w:hAnsi="Arial" w:cs="Arial"/>
                <w:b/>
                <w:noProof/>
                <w:color w:val="000000"/>
                <w:sz w:val="20"/>
                <w:szCs w:val="20"/>
              </w:rPr>
              <w:t>x</w:t>
            </w:r>
            <w:r w:rsidR="00696825">
              <w:rPr>
                <w:rFonts w:ascii="Arial" w:hAnsi="Arial" w:cs="Arial"/>
                <w:b/>
                <w:noProof/>
                <w:color w:val="000000"/>
                <w:sz w:val="20"/>
                <w:szCs w:val="20"/>
              </w:rPr>
              <w:t xml:space="preserve">pansion of the Fallbrook/Pala Mesa center and remodel of our Escondido and Rancho Bernardo centers.  Plans are to utilize the new facilities with additional sections of lecture and lab.  </w:t>
            </w:r>
            <w:r w:rsidR="00B94C56">
              <w:rPr>
                <w:rFonts w:ascii="Arial" w:hAnsi="Arial" w:cs="Arial"/>
                <w:b/>
                <w:noProof/>
                <w:color w:val="000000"/>
                <w:sz w:val="20"/>
                <w:szCs w:val="20"/>
              </w:rPr>
              <w:t>T</w:t>
            </w:r>
            <w:r w:rsidR="00696825">
              <w:rPr>
                <w:rFonts w:ascii="Arial" w:hAnsi="Arial" w:cs="Arial"/>
                <w:b/>
                <w:noProof/>
                <w:color w:val="000000"/>
                <w:sz w:val="20"/>
                <w:szCs w:val="20"/>
              </w:rPr>
              <w:t>he goals of the department/discipline have not changed, reflecting the goals of Strategic Plan 2013.</w:t>
            </w:r>
          </w:p>
          <w:p w:rsidR="00696825" w:rsidRDefault="00696825" w:rsidP="0069682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1.  Improved student learning for success.</w:t>
            </w:r>
          </w:p>
          <w:p w:rsidR="00696825" w:rsidRDefault="00696825" w:rsidP="0069682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2.  Increase student retention.</w:t>
            </w:r>
          </w:p>
          <w:p w:rsidR="00696825" w:rsidRDefault="00696825" w:rsidP="0069682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3.  Expansion</w:t>
            </w:r>
          </w:p>
          <w:p w:rsidR="00696825" w:rsidRDefault="00696825" w:rsidP="00696825">
            <w:pPr>
              <w:spacing w:before="40" w:after="20"/>
              <w:ind w:right="288"/>
              <w:rPr>
                <w:rFonts w:ascii="Arial" w:hAnsi="Arial" w:cs="Arial"/>
                <w:b/>
                <w:noProof/>
                <w:color w:val="000000"/>
                <w:sz w:val="20"/>
                <w:szCs w:val="20"/>
              </w:rPr>
            </w:pPr>
            <w:r>
              <w:rPr>
                <w:rFonts w:ascii="Arial" w:hAnsi="Arial" w:cs="Arial"/>
                <w:b/>
                <w:noProof/>
                <w:color w:val="000000"/>
                <w:sz w:val="20"/>
                <w:szCs w:val="20"/>
              </w:rPr>
              <w:t xml:space="preserve">     4.  Diversificaiton</w:t>
            </w:r>
          </w:p>
          <w:p w:rsidR="00696825" w:rsidRDefault="00696825" w:rsidP="00696825">
            <w:pPr>
              <w:spacing w:before="40" w:after="20"/>
              <w:ind w:right="288"/>
              <w:rPr>
                <w:rFonts w:ascii="Arial" w:hAnsi="Arial" w:cs="Arial"/>
                <w:b/>
                <w:noProof/>
                <w:color w:val="000000"/>
                <w:sz w:val="20"/>
                <w:szCs w:val="20"/>
              </w:rPr>
            </w:pPr>
          </w:p>
          <w:p w:rsidR="003D0927" w:rsidRPr="00B81877" w:rsidRDefault="00696825" w:rsidP="00B94C56">
            <w:pPr>
              <w:spacing w:before="40" w:after="20"/>
              <w:ind w:right="288"/>
              <w:rPr>
                <w:rFonts w:ascii="Arial" w:hAnsi="Arial" w:cs="Arial"/>
                <w:b/>
              </w:rPr>
            </w:pPr>
            <w:r>
              <w:rPr>
                <w:rFonts w:ascii="Arial" w:hAnsi="Arial" w:cs="Arial"/>
                <w:b/>
                <w:noProof/>
                <w:color w:val="000000"/>
                <w:sz w:val="20"/>
                <w:szCs w:val="20"/>
              </w:rPr>
              <w:t xml:space="preserve">To ensure these goals are met, efforts in class secheduling and faculty hiring will be focused on a comprehensive class schedule build, </w:t>
            </w:r>
            <w:r w:rsidR="00B94C56">
              <w:rPr>
                <w:rFonts w:ascii="Arial" w:hAnsi="Arial" w:cs="Arial"/>
                <w:b/>
                <w:noProof/>
                <w:color w:val="000000"/>
                <w:sz w:val="20"/>
                <w:szCs w:val="20"/>
              </w:rPr>
              <w:t>g</w:t>
            </w:r>
            <w:r>
              <w:rPr>
                <w:rFonts w:ascii="Arial" w:hAnsi="Arial" w:cs="Arial"/>
                <w:b/>
                <w:noProof/>
                <w:color w:val="000000"/>
                <w:sz w:val="20"/>
                <w:szCs w:val="20"/>
              </w:rPr>
              <w:t>rowth and replacement of faculty.</w:t>
            </w:r>
            <w:r w:rsidR="00D05DCB">
              <w:rPr>
                <w:rFonts w:ascii="Arial" w:hAnsi="Arial" w:cs="Arial"/>
                <w:b/>
                <w:color w:val="000000"/>
                <w:sz w:val="20"/>
                <w:szCs w:val="20"/>
              </w:rPr>
              <w:fldChar w:fldCharType="end"/>
            </w:r>
            <w:bookmarkEnd w:id="9"/>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0" w:name="StepIIC"/>
      <w:tr w:rsidR="003D0927" w:rsidRPr="00B81877" w:rsidTr="00450325">
        <w:trPr>
          <w:trHeight w:val="720"/>
        </w:trPr>
        <w:tc>
          <w:tcPr>
            <w:tcW w:w="14400" w:type="dxa"/>
          </w:tcPr>
          <w:p w:rsidR="003D0927" w:rsidRPr="00B81877" w:rsidRDefault="00D05DCB" w:rsidP="00B94C56">
            <w:pPr>
              <w:spacing w:before="40" w:after="20"/>
              <w:ind w:right="288"/>
              <w:rPr>
                <w:rFonts w:ascii="Arial" w:hAnsi="Arial" w:cs="Arial"/>
                <w:b/>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2505E1" w:rsidRPr="002505E1">
              <w:rPr>
                <w:rFonts w:ascii="Arial" w:hAnsi="Arial" w:cs="Arial"/>
                <w:b/>
                <w:noProof/>
                <w:color w:val="000000"/>
                <w:sz w:val="20"/>
                <w:szCs w:val="20"/>
              </w:rPr>
              <w:t>The recent hiring (Spring 2010) of 2 full time faculty replacements,  whose  strength lies within Health Education, Exercise Science, and Nutrition has reduced our Prt Time (Total FTEF) from Fall 2007 (54%)/ Fall 2008 (45.5%) to Fall 2010 (30.36%</w:t>
            </w:r>
            <w:r w:rsidR="00B94C56">
              <w:rPr>
                <w:rFonts w:ascii="Arial" w:hAnsi="Arial" w:cs="Arial"/>
                <w:b/>
                <w:noProof/>
                <w:color w:val="000000"/>
                <w:sz w:val="20"/>
                <w:szCs w:val="20"/>
              </w:rPr>
              <w:t>)</w:t>
            </w:r>
            <w:r w:rsidR="002505E1" w:rsidRPr="002505E1">
              <w:rPr>
                <w:rFonts w:ascii="Arial" w:hAnsi="Arial" w:cs="Arial"/>
                <w:b/>
                <w:noProof/>
                <w:color w:val="000000"/>
                <w:sz w:val="20"/>
                <w:szCs w:val="20"/>
              </w:rPr>
              <w:t xml:space="preserve">.  </w:t>
            </w:r>
            <w:r w:rsidR="00B94C56">
              <w:rPr>
                <w:rFonts w:ascii="Arial" w:hAnsi="Arial" w:cs="Arial"/>
                <w:b/>
                <w:noProof/>
                <w:color w:val="000000"/>
                <w:sz w:val="20"/>
                <w:szCs w:val="20"/>
              </w:rPr>
              <w:t>T</w:t>
            </w:r>
            <w:r w:rsidR="002505E1" w:rsidRPr="002505E1">
              <w:rPr>
                <w:rFonts w:ascii="Arial" w:hAnsi="Arial" w:cs="Arial"/>
                <w:b/>
                <w:noProof/>
                <w:color w:val="000000"/>
                <w:sz w:val="20"/>
                <w:szCs w:val="20"/>
              </w:rPr>
              <w:t>he ability to assign full</w:t>
            </w:r>
            <w:r w:rsidR="00B94C56">
              <w:rPr>
                <w:rFonts w:ascii="Arial" w:hAnsi="Arial" w:cs="Arial"/>
                <w:b/>
                <w:noProof/>
                <w:color w:val="000000"/>
                <w:sz w:val="20"/>
                <w:szCs w:val="20"/>
              </w:rPr>
              <w:t xml:space="preserve"> </w:t>
            </w:r>
            <w:r w:rsidR="002505E1" w:rsidRPr="002505E1">
              <w:rPr>
                <w:rFonts w:ascii="Arial" w:hAnsi="Arial" w:cs="Arial"/>
                <w:b/>
                <w:noProof/>
                <w:color w:val="000000"/>
                <w:sz w:val="20"/>
                <w:szCs w:val="20"/>
              </w:rPr>
              <w:t xml:space="preserve">time contract within our Health discipline gives us increased stability and consistency.  </w:t>
            </w:r>
            <w:r w:rsidR="00B94C56">
              <w:rPr>
                <w:rFonts w:ascii="Arial" w:hAnsi="Arial" w:cs="Arial"/>
                <w:b/>
                <w:noProof/>
                <w:color w:val="000000"/>
                <w:sz w:val="20"/>
                <w:szCs w:val="20"/>
              </w:rPr>
              <w:t>T</w:t>
            </w:r>
            <w:r w:rsidR="002505E1" w:rsidRPr="002505E1">
              <w:rPr>
                <w:rFonts w:ascii="Arial" w:hAnsi="Arial" w:cs="Arial"/>
                <w:b/>
                <w:noProof/>
                <w:color w:val="000000"/>
                <w:sz w:val="20"/>
                <w:szCs w:val="20"/>
              </w:rPr>
              <w:t>his has influenced the increase in our enrollment, WSCH, Total FTEF and our WSCH/FTEF.  Anticipating 3 more retire</w:t>
            </w:r>
            <w:r w:rsidR="00B94C56">
              <w:rPr>
                <w:rFonts w:ascii="Arial" w:hAnsi="Arial" w:cs="Arial"/>
                <w:b/>
                <w:noProof/>
                <w:color w:val="000000"/>
                <w:sz w:val="20"/>
                <w:szCs w:val="20"/>
              </w:rPr>
              <w:t>e</w:t>
            </w:r>
            <w:r w:rsidR="002505E1" w:rsidRPr="002505E1">
              <w:rPr>
                <w:rFonts w:ascii="Arial" w:hAnsi="Arial" w:cs="Arial"/>
                <w:b/>
                <w:noProof/>
                <w:color w:val="000000"/>
                <w:sz w:val="20"/>
                <w:szCs w:val="20"/>
              </w:rPr>
              <w:t xml:space="preserve">s by Spring 2013, plus the expansion to our Fallbrook/Pala Mesa site, it is critical to maintain the core strength of our discipline with the replacement of FT faculty.  </w:t>
            </w:r>
            <w:r w:rsidR="00B94C56">
              <w:rPr>
                <w:rFonts w:ascii="Arial" w:hAnsi="Arial" w:cs="Arial"/>
                <w:b/>
                <w:noProof/>
                <w:color w:val="000000"/>
                <w:sz w:val="20"/>
                <w:szCs w:val="20"/>
              </w:rPr>
              <w:t>T</w:t>
            </w:r>
            <w:r w:rsidR="002505E1" w:rsidRPr="002505E1">
              <w:rPr>
                <w:rFonts w:ascii="Arial" w:hAnsi="Arial" w:cs="Arial"/>
                <w:b/>
                <w:noProof/>
                <w:color w:val="000000"/>
                <w:sz w:val="20"/>
                <w:szCs w:val="20"/>
              </w:rPr>
              <w:t xml:space="preserve">he need will be significant. </w:t>
            </w:r>
            <w:r>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D05DCB" w:rsidP="00DC4165">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DC4165">
              <w:rPr>
                <w:rFonts w:ascii="Arial" w:hAnsi="Arial" w:cs="Arial"/>
                <w:b/>
                <w:noProof/>
                <w:sz w:val="16"/>
                <w:szCs w:val="16"/>
              </w:rPr>
              <w:t>Please refer to Department Report</w:t>
            </w:r>
            <w:r w:rsidRPr="0084039D">
              <w:rPr>
                <w:rFonts w:ascii="Arial" w:hAnsi="Arial" w:cs="Arial"/>
                <w:b/>
                <w:sz w:val="16"/>
                <w:szCs w:val="16"/>
              </w:rPr>
              <w:fldChar w:fldCharType="end"/>
            </w:r>
          </w:p>
        </w:tc>
        <w:tc>
          <w:tcPr>
            <w:tcW w:w="987" w:type="dxa"/>
          </w:tcPr>
          <w:p w:rsidR="007A7647" w:rsidRDefault="00D05DC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05DC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05DC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05DC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05DC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05DC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D05DC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05DC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05DC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05DC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05DC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05DC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05DC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a3. </w:t>
            </w:r>
          </w:p>
        </w:tc>
        <w:tc>
          <w:tcPr>
            <w:tcW w:w="3236" w:type="dxa"/>
          </w:tcPr>
          <w:p w:rsidR="007A7647" w:rsidRDefault="00D05DCB">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007A7647" w:rsidRPr="0084039D">
              <w:rPr>
                <w:rFonts w:ascii="Arial" w:hAnsi="Arial" w:cs="Arial"/>
                <w:b/>
                <w:noProof/>
                <w:sz w:val="16"/>
                <w:szCs w:val="16"/>
              </w:rPr>
              <w:t> </w:t>
            </w:r>
            <w:r w:rsidRPr="0084039D">
              <w:rPr>
                <w:rFonts w:ascii="Arial" w:hAnsi="Arial" w:cs="Arial"/>
                <w:b/>
                <w:sz w:val="16"/>
                <w:szCs w:val="16"/>
              </w:rPr>
              <w:fldChar w:fldCharType="end"/>
            </w:r>
          </w:p>
        </w:tc>
        <w:tc>
          <w:tcPr>
            <w:tcW w:w="987" w:type="dxa"/>
          </w:tcPr>
          <w:p w:rsidR="007A7647" w:rsidRDefault="00D05DC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05DC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05DC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05DC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05DC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05DC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D05DC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05DC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05DC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05DC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05DC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05DC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05DC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D05DCB">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D05DCB">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D05DCB">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D05DCB">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D05DCB">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D05DCB">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D05DCB">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7A7647" w:rsidRDefault="00D05DCB" w:rsidP="00DC4165">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DC4165">
              <w:rPr>
                <w:rFonts w:ascii="Arial" w:hAnsi="Arial" w:cs="Arial"/>
                <w:b/>
                <w:noProof/>
                <w:sz w:val="16"/>
                <w:szCs w:val="16"/>
              </w:rPr>
              <w:t>Please refer to Department Report</w:t>
            </w:r>
            <w:r w:rsidRPr="006145DF">
              <w:rPr>
                <w:rFonts w:ascii="Arial" w:hAnsi="Arial" w:cs="Arial"/>
                <w:b/>
                <w:sz w:val="16"/>
                <w:szCs w:val="16"/>
              </w:rPr>
              <w:fldChar w:fldCharType="end"/>
            </w:r>
          </w:p>
        </w:tc>
        <w:tc>
          <w:tcPr>
            <w:tcW w:w="1001" w:type="dxa"/>
          </w:tcPr>
          <w:p w:rsidR="007A7647" w:rsidRDefault="00D05DC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05DC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05DC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05DC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05DC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05DC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D05DC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05DC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05DC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05DC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05DC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05DC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05DC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D05DC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05DC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05DC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05DC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05DC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05DC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05DC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D05DC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05DC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05DC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05DC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05DC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05DC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05DC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D05DCB">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D05DCB">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D05DCB">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D05DCB">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D05DCB">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D05DCB">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D05DCB">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D05DCB" w:rsidP="00DC4165">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DC4165">
              <w:rPr>
                <w:rFonts w:ascii="Arial" w:hAnsi="Arial" w:cs="Arial"/>
                <w:b/>
                <w:noProof/>
                <w:sz w:val="16"/>
                <w:szCs w:val="16"/>
              </w:rPr>
              <w:t>Please refer to Department Report</w:t>
            </w:r>
            <w:r w:rsidRPr="006A0CAA">
              <w:rPr>
                <w:rFonts w:ascii="Arial" w:hAnsi="Arial" w:cs="Arial"/>
                <w:b/>
                <w:sz w:val="16"/>
                <w:szCs w:val="16"/>
              </w:rPr>
              <w:fldChar w:fldCharType="end"/>
            </w:r>
          </w:p>
        </w:tc>
        <w:tc>
          <w:tcPr>
            <w:tcW w:w="1001" w:type="dxa"/>
            <w:gridSpan w:val="2"/>
          </w:tcPr>
          <w:p w:rsidR="007A7647" w:rsidRDefault="00D05DC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05DC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05DC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05DC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05DC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05DC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D05DC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05DC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05DC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05DC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05DC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05DC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05DC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D05DC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05DC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05DC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05DC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05DC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05DC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05DC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D05DC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05DC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05DC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05DC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05DC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05DC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05DC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D05DCB">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007A7647" w:rsidRPr="006A0CAA">
              <w:rPr>
                <w:rFonts w:ascii="Arial" w:hAnsi="Arial" w:cs="Arial"/>
                <w:b/>
                <w:noProof/>
                <w:sz w:val="16"/>
                <w:szCs w:val="16"/>
              </w:rPr>
              <w:t> </w:t>
            </w:r>
            <w:r w:rsidRPr="006A0CAA">
              <w:rPr>
                <w:rFonts w:ascii="Arial" w:hAnsi="Arial" w:cs="Arial"/>
                <w:b/>
                <w:sz w:val="16"/>
                <w:szCs w:val="16"/>
              </w:rPr>
              <w:fldChar w:fldCharType="end"/>
            </w:r>
          </w:p>
        </w:tc>
        <w:tc>
          <w:tcPr>
            <w:tcW w:w="1001" w:type="dxa"/>
            <w:gridSpan w:val="2"/>
          </w:tcPr>
          <w:p w:rsidR="007A7647" w:rsidRDefault="00D05DCB">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007A7647" w:rsidRPr="00DD2422">
              <w:rPr>
                <w:rFonts w:ascii="Arial" w:hAnsi="Arial" w:cs="Arial"/>
                <w:b/>
                <w:noProof/>
                <w:sz w:val="16"/>
                <w:szCs w:val="16"/>
              </w:rPr>
              <w:t> </w:t>
            </w:r>
            <w:r w:rsidRPr="00DD2422">
              <w:rPr>
                <w:rFonts w:ascii="Arial" w:hAnsi="Arial" w:cs="Arial"/>
                <w:b/>
                <w:sz w:val="16"/>
                <w:szCs w:val="16"/>
              </w:rPr>
              <w:fldChar w:fldCharType="end"/>
            </w:r>
          </w:p>
        </w:tc>
        <w:tc>
          <w:tcPr>
            <w:tcW w:w="1173" w:type="dxa"/>
            <w:gridSpan w:val="2"/>
          </w:tcPr>
          <w:p w:rsidR="007A7647" w:rsidRDefault="00D05DCB">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007A7647" w:rsidRPr="006F5492">
              <w:rPr>
                <w:rFonts w:ascii="Arial" w:hAnsi="Arial" w:cs="Arial"/>
                <w:b/>
                <w:noProof/>
                <w:sz w:val="16"/>
                <w:szCs w:val="16"/>
              </w:rPr>
              <w:t> </w:t>
            </w:r>
            <w:r w:rsidRPr="006F5492">
              <w:rPr>
                <w:rFonts w:ascii="Arial" w:hAnsi="Arial" w:cs="Arial"/>
                <w:b/>
                <w:sz w:val="16"/>
                <w:szCs w:val="16"/>
              </w:rPr>
              <w:fldChar w:fldCharType="end"/>
            </w:r>
          </w:p>
        </w:tc>
        <w:tc>
          <w:tcPr>
            <w:tcW w:w="3270" w:type="dxa"/>
            <w:gridSpan w:val="2"/>
          </w:tcPr>
          <w:p w:rsidR="007A7647" w:rsidRDefault="00D05DCB">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007A7647" w:rsidRPr="00D35D91">
              <w:rPr>
                <w:rFonts w:ascii="Arial" w:hAnsi="Arial" w:cs="Arial"/>
                <w:b/>
                <w:noProof/>
                <w:sz w:val="16"/>
                <w:szCs w:val="16"/>
              </w:rPr>
              <w:t> </w:t>
            </w:r>
            <w:r w:rsidRPr="00D35D91">
              <w:rPr>
                <w:rFonts w:ascii="Arial" w:hAnsi="Arial" w:cs="Arial"/>
                <w:b/>
                <w:sz w:val="16"/>
                <w:szCs w:val="16"/>
              </w:rPr>
              <w:fldChar w:fldCharType="end"/>
            </w:r>
          </w:p>
        </w:tc>
        <w:tc>
          <w:tcPr>
            <w:tcW w:w="1151" w:type="dxa"/>
            <w:gridSpan w:val="2"/>
          </w:tcPr>
          <w:p w:rsidR="007A7647" w:rsidRDefault="00D05DCB">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007A7647" w:rsidRPr="00467C6F">
              <w:rPr>
                <w:rFonts w:ascii="Arial" w:hAnsi="Arial" w:cs="Arial"/>
                <w:b/>
                <w:noProof/>
                <w:sz w:val="16"/>
                <w:szCs w:val="16"/>
              </w:rPr>
              <w:t> </w:t>
            </w:r>
            <w:r w:rsidRPr="00467C6F">
              <w:rPr>
                <w:rFonts w:ascii="Arial" w:hAnsi="Arial" w:cs="Arial"/>
                <w:b/>
                <w:sz w:val="16"/>
                <w:szCs w:val="16"/>
              </w:rPr>
              <w:fldChar w:fldCharType="end"/>
            </w:r>
          </w:p>
        </w:tc>
        <w:tc>
          <w:tcPr>
            <w:tcW w:w="1341" w:type="dxa"/>
            <w:gridSpan w:val="2"/>
          </w:tcPr>
          <w:p w:rsidR="007A7647" w:rsidRDefault="00D05DCB">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007A7647" w:rsidRPr="00317A3F">
              <w:rPr>
                <w:rFonts w:ascii="Arial" w:hAnsi="Arial" w:cs="Arial"/>
                <w:b/>
                <w:noProof/>
                <w:sz w:val="16"/>
                <w:szCs w:val="16"/>
              </w:rPr>
              <w:t> </w:t>
            </w:r>
            <w:r w:rsidRPr="00317A3F">
              <w:rPr>
                <w:rFonts w:ascii="Arial" w:hAnsi="Arial" w:cs="Arial"/>
                <w:b/>
                <w:sz w:val="16"/>
                <w:szCs w:val="16"/>
              </w:rPr>
              <w:fldChar w:fldCharType="end"/>
            </w:r>
          </w:p>
        </w:tc>
        <w:tc>
          <w:tcPr>
            <w:tcW w:w="2233" w:type="dxa"/>
            <w:gridSpan w:val="2"/>
          </w:tcPr>
          <w:p w:rsidR="007A7647" w:rsidRDefault="00D05DCB">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007A7647" w:rsidRPr="005B2BEA">
              <w:rPr>
                <w:rFonts w:ascii="Arial" w:hAnsi="Arial" w:cs="Arial"/>
                <w:b/>
                <w:noProof/>
                <w:sz w:val="16"/>
                <w:szCs w:val="16"/>
              </w:rPr>
              <w:t> </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D05DCB" w:rsidP="00DC4165">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DC4165">
              <w:rPr>
                <w:rFonts w:ascii="Arial" w:hAnsi="Arial" w:cs="Arial"/>
                <w:b/>
                <w:noProof/>
                <w:sz w:val="16"/>
                <w:szCs w:val="16"/>
              </w:rPr>
              <w:t>Please refer to Department Report</w:t>
            </w:r>
            <w:r>
              <w:rPr>
                <w:rFonts w:ascii="Arial" w:hAnsi="Arial" w:cs="Arial"/>
                <w:b/>
                <w:sz w:val="16"/>
                <w:szCs w:val="16"/>
              </w:rPr>
              <w:fldChar w:fldCharType="end"/>
            </w:r>
          </w:p>
        </w:tc>
        <w:tc>
          <w:tcPr>
            <w:tcW w:w="1001" w:type="dxa"/>
            <w:gridSpan w:val="2"/>
          </w:tcPr>
          <w:p w:rsidR="007A7647" w:rsidRDefault="00D05DC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05DC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05DC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05DC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05DC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05DC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D05DC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05DC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05DC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05DC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05DC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05DC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05DC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D05DC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05DC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05DC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05DC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05DC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05DC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05DC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D05DC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05DC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05DC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05DC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05DC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05DC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05DC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D05DCB">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007A7647" w:rsidRPr="00C930FA">
              <w:rPr>
                <w:rFonts w:ascii="Arial" w:hAnsi="Arial" w:cs="Arial"/>
                <w:b/>
                <w:noProof/>
                <w:sz w:val="16"/>
                <w:szCs w:val="16"/>
              </w:rPr>
              <w:t> </w:t>
            </w:r>
            <w:r w:rsidRPr="00C930FA">
              <w:rPr>
                <w:rFonts w:ascii="Arial" w:hAnsi="Arial" w:cs="Arial"/>
                <w:b/>
                <w:sz w:val="16"/>
                <w:szCs w:val="16"/>
              </w:rPr>
              <w:fldChar w:fldCharType="end"/>
            </w:r>
          </w:p>
        </w:tc>
        <w:tc>
          <w:tcPr>
            <w:tcW w:w="1001" w:type="dxa"/>
            <w:gridSpan w:val="2"/>
          </w:tcPr>
          <w:p w:rsidR="007A7647" w:rsidRDefault="00D05DCB">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007A7647" w:rsidRPr="00AA23C6">
              <w:rPr>
                <w:rFonts w:ascii="Arial" w:hAnsi="Arial" w:cs="Arial"/>
                <w:b/>
                <w:noProof/>
                <w:sz w:val="16"/>
                <w:szCs w:val="16"/>
              </w:rPr>
              <w:t> </w:t>
            </w:r>
            <w:r w:rsidRPr="00AA23C6">
              <w:rPr>
                <w:rFonts w:ascii="Arial" w:hAnsi="Arial" w:cs="Arial"/>
                <w:b/>
                <w:sz w:val="16"/>
                <w:szCs w:val="16"/>
              </w:rPr>
              <w:fldChar w:fldCharType="end"/>
            </w:r>
          </w:p>
        </w:tc>
        <w:tc>
          <w:tcPr>
            <w:tcW w:w="1173" w:type="dxa"/>
            <w:gridSpan w:val="2"/>
          </w:tcPr>
          <w:p w:rsidR="007A7647" w:rsidRDefault="00D05DCB">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007A7647" w:rsidRPr="003102F2">
              <w:rPr>
                <w:rFonts w:ascii="Arial" w:hAnsi="Arial" w:cs="Arial"/>
                <w:b/>
                <w:noProof/>
                <w:sz w:val="16"/>
                <w:szCs w:val="16"/>
              </w:rPr>
              <w:t> </w:t>
            </w:r>
            <w:r w:rsidRPr="003102F2">
              <w:rPr>
                <w:rFonts w:ascii="Arial" w:hAnsi="Arial" w:cs="Arial"/>
                <w:b/>
                <w:sz w:val="16"/>
                <w:szCs w:val="16"/>
              </w:rPr>
              <w:fldChar w:fldCharType="end"/>
            </w:r>
          </w:p>
        </w:tc>
        <w:tc>
          <w:tcPr>
            <w:tcW w:w="3269" w:type="dxa"/>
            <w:gridSpan w:val="2"/>
          </w:tcPr>
          <w:p w:rsidR="007A7647" w:rsidRDefault="00D05DC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007A7647" w:rsidRPr="00B12284">
              <w:rPr>
                <w:rFonts w:ascii="Arial" w:hAnsi="Arial" w:cs="Arial"/>
                <w:b/>
                <w:noProof/>
                <w:sz w:val="16"/>
                <w:szCs w:val="16"/>
              </w:rPr>
              <w:t> </w:t>
            </w:r>
            <w:r w:rsidRPr="00B12284">
              <w:rPr>
                <w:rFonts w:ascii="Arial" w:hAnsi="Arial" w:cs="Arial"/>
                <w:b/>
                <w:sz w:val="16"/>
                <w:szCs w:val="16"/>
              </w:rPr>
              <w:fldChar w:fldCharType="end"/>
            </w:r>
          </w:p>
        </w:tc>
        <w:tc>
          <w:tcPr>
            <w:tcW w:w="1151" w:type="dxa"/>
            <w:gridSpan w:val="2"/>
          </w:tcPr>
          <w:p w:rsidR="007A7647" w:rsidRDefault="00D05DCB">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007A7647" w:rsidRPr="00FD6169">
              <w:rPr>
                <w:rFonts w:ascii="Arial" w:hAnsi="Arial" w:cs="Arial"/>
                <w:b/>
                <w:noProof/>
                <w:sz w:val="16"/>
                <w:szCs w:val="16"/>
              </w:rPr>
              <w:t> </w:t>
            </w:r>
            <w:r w:rsidRPr="00FD6169">
              <w:rPr>
                <w:rFonts w:ascii="Arial" w:hAnsi="Arial" w:cs="Arial"/>
                <w:b/>
                <w:sz w:val="16"/>
                <w:szCs w:val="16"/>
              </w:rPr>
              <w:fldChar w:fldCharType="end"/>
            </w:r>
          </w:p>
        </w:tc>
        <w:tc>
          <w:tcPr>
            <w:tcW w:w="1340" w:type="dxa"/>
            <w:gridSpan w:val="2"/>
          </w:tcPr>
          <w:p w:rsidR="007A7647" w:rsidRDefault="00D05DCB">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007A7647" w:rsidRPr="00C77B3A">
              <w:rPr>
                <w:rFonts w:ascii="Arial" w:hAnsi="Arial" w:cs="Arial"/>
                <w:b/>
                <w:noProof/>
                <w:sz w:val="16"/>
                <w:szCs w:val="16"/>
              </w:rPr>
              <w:t> </w:t>
            </w:r>
            <w:r w:rsidRPr="00C77B3A">
              <w:rPr>
                <w:rFonts w:ascii="Arial" w:hAnsi="Arial" w:cs="Arial"/>
                <w:b/>
                <w:sz w:val="16"/>
                <w:szCs w:val="16"/>
              </w:rPr>
              <w:fldChar w:fldCharType="end"/>
            </w:r>
          </w:p>
        </w:tc>
        <w:tc>
          <w:tcPr>
            <w:tcW w:w="2232" w:type="dxa"/>
            <w:gridSpan w:val="2"/>
          </w:tcPr>
          <w:p w:rsidR="007A7647" w:rsidRDefault="00D05DCB">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007A7647" w:rsidRPr="002839C4">
              <w:rPr>
                <w:rFonts w:ascii="Arial" w:hAnsi="Arial" w:cs="Arial"/>
                <w:b/>
                <w:noProof/>
                <w:sz w:val="16"/>
                <w:szCs w:val="16"/>
              </w:rPr>
              <w:t> </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D05DCB" w:rsidP="00DC4165">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DC4165">
              <w:rPr>
                <w:rFonts w:ascii="Arial" w:hAnsi="Arial" w:cs="Arial"/>
                <w:b/>
                <w:noProof/>
                <w:sz w:val="16"/>
                <w:szCs w:val="16"/>
              </w:rPr>
              <w:t>Please refer to Department Report</w:t>
            </w:r>
            <w:r w:rsidRPr="00ED1922">
              <w:rPr>
                <w:rFonts w:ascii="Arial" w:hAnsi="Arial" w:cs="Arial"/>
                <w:b/>
                <w:sz w:val="16"/>
                <w:szCs w:val="16"/>
              </w:rPr>
              <w:fldChar w:fldCharType="end"/>
            </w:r>
          </w:p>
        </w:tc>
        <w:tc>
          <w:tcPr>
            <w:tcW w:w="100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D05DC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D05DC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D05DC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D05DCB">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D05DC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D05DCB" w:rsidP="00DC4165">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DC4165">
              <w:rPr>
                <w:rFonts w:ascii="Arial" w:hAnsi="Arial" w:cs="Arial"/>
                <w:b/>
                <w:noProof/>
                <w:sz w:val="16"/>
                <w:szCs w:val="16"/>
              </w:rPr>
              <w:t>Please refer to Department Report</w:t>
            </w:r>
            <w:r w:rsidRPr="001D1FCA">
              <w:rPr>
                <w:rFonts w:ascii="Arial" w:hAnsi="Arial" w:cs="Arial"/>
                <w:b/>
                <w:sz w:val="16"/>
                <w:szCs w:val="16"/>
              </w:rPr>
              <w:fldChar w:fldCharType="end"/>
            </w:r>
          </w:p>
        </w:tc>
        <w:tc>
          <w:tcPr>
            <w:tcW w:w="1001"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D05DCB">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D05DCB" w:rsidP="00513A5B">
            <w:pPr>
              <w:spacing w:before="40" w:after="20"/>
              <w:rPr>
                <w:rFonts w:ascii="Arial" w:hAnsi="Arial" w:cs="Arial"/>
                <w:color w:val="000000"/>
              </w:rPr>
            </w:pPr>
            <w:r>
              <w:rPr>
                <w:rFonts w:ascii="Arial" w:hAnsi="Arial" w:cs="Arial"/>
                <w:b/>
                <w:color w:val="000000"/>
                <w:sz w:val="20"/>
                <w:szCs w:val="20"/>
              </w:rPr>
              <w:lastRenderedPageBreak/>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sidR="0032174B">
              <w:rPr>
                <w:rFonts w:ascii="Arial" w:hAnsi="Arial" w:cs="Arial"/>
                <w:b/>
                <w:noProof/>
                <w:color w:val="000000"/>
                <w:sz w:val="20"/>
                <w:szCs w:val="20"/>
              </w:rPr>
              <w:t> </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E4720E">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675D38" w:rsidRPr="00675D38" w:rsidRDefault="00D05DCB" w:rsidP="00675D38">
            <w:pPr>
              <w:rPr>
                <w:rFonts w:ascii="Arial" w:hAnsi="Arial" w:cs="Arial"/>
                <w:b/>
                <w:noProof/>
                <w:color w:val="000000"/>
                <w:sz w:val="20"/>
                <w:szCs w:val="20"/>
              </w:rPr>
            </w:pPr>
            <w:r>
              <w:rPr>
                <w:rFonts w:ascii="Arial" w:hAnsi="Arial" w:cs="Arial"/>
                <w:b/>
                <w:color w:val="000000"/>
                <w:sz w:val="20"/>
                <w:szCs w:val="20"/>
              </w:rPr>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p>
          <w:p w:rsidR="00675D38" w:rsidRPr="00675D38" w:rsidRDefault="00675D38" w:rsidP="00675D38">
            <w:pPr>
              <w:rPr>
                <w:rFonts w:ascii="Arial" w:hAnsi="Arial" w:cs="Arial"/>
                <w:b/>
                <w:noProof/>
                <w:color w:val="000000"/>
                <w:sz w:val="20"/>
                <w:szCs w:val="20"/>
              </w:rPr>
            </w:pPr>
            <w:r w:rsidRPr="00675D38">
              <w:rPr>
                <w:rFonts w:ascii="Arial" w:hAnsi="Arial" w:cs="Arial"/>
                <w:b/>
                <w:noProof/>
                <w:color w:val="000000"/>
                <w:sz w:val="20"/>
                <w:szCs w:val="20"/>
              </w:rPr>
              <w:t>•</w:t>
            </w:r>
            <w:r w:rsidRPr="00675D38">
              <w:rPr>
                <w:rFonts w:ascii="Arial" w:hAnsi="Arial" w:cs="Arial"/>
                <w:b/>
                <w:noProof/>
                <w:color w:val="000000"/>
                <w:sz w:val="20"/>
                <w:szCs w:val="20"/>
              </w:rPr>
              <w:tab/>
              <w:t>Health 100 text revision to include student lab card.  This will have a significant effect on reducing printing costs.</w:t>
            </w:r>
          </w:p>
          <w:p w:rsidR="00675D38" w:rsidRDefault="00675D38" w:rsidP="00675D38">
            <w:pPr>
              <w:rPr>
                <w:rFonts w:ascii="Arial" w:hAnsi="Arial" w:cs="Arial"/>
                <w:b/>
                <w:noProof/>
                <w:color w:val="000000"/>
                <w:sz w:val="20"/>
                <w:szCs w:val="20"/>
              </w:rPr>
            </w:pPr>
            <w:r w:rsidRPr="00675D38">
              <w:rPr>
                <w:rFonts w:ascii="Arial" w:hAnsi="Arial" w:cs="Arial"/>
                <w:b/>
                <w:noProof/>
                <w:color w:val="000000"/>
                <w:sz w:val="20"/>
                <w:szCs w:val="20"/>
              </w:rPr>
              <w:t>•</w:t>
            </w:r>
            <w:r w:rsidRPr="00675D38">
              <w:rPr>
                <w:rFonts w:ascii="Arial" w:hAnsi="Arial" w:cs="Arial"/>
                <w:b/>
                <w:noProof/>
                <w:color w:val="000000"/>
                <w:sz w:val="20"/>
                <w:szCs w:val="20"/>
              </w:rPr>
              <w:tab/>
              <w:t xml:space="preserve">The new Health format has been a huge success as Health 100 students do their fitness workouts in a quality facility on campus.  This has </w:t>
            </w:r>
            <w:r>
              <w:rPr>
                <w:rFonts w:ascii="Arial" w:hAnsi="Arial" w:cs="Arial"/>
                <w:b/>
                <w:noProof/>
                <w:color w:val="000000"/>
                <w:sz w:val="20"/>
                <w:szCs w:val="20"/>
              </w:rPr>
              <w:t xml:space="preserve">   </w:t>
            </w:r>
            <w:r w:rsidRPr="00675D38">
              <w:rPr>
                <w:rFonts w:ascii="Arial" w:hAnsi="Arial" w:cs="Arial"/>
                <w:b/>
                <w:noProof/>
                <w:color w:val="000000"/>
                <w:sz w:val="20"/>
                <w:szCs w:val="20"/>
              </w:rPr>
              <w:t>increased the fitness level of our students in general.  We are maximizing the Wellness Center as we have never done before.</w:t>
            </w:r>
          </w:p>
          <w:p w:rsidR="00675D38" w:rsidRPr="00675D38" w:rsidRDefault="00675D38" w:rsidP="00675D38">
            <w:pPr>
              <w:rPr>
                <w:rFonts w:ascii="Arial" w:hAnsi="Arial" w:cs="Arial"/>
                <w:b/>
                <w:noProof/>
                <w:color w:val="000000"/>
                <w:sz w:val="20"/>
                <w:szCs w:val="20"/>
              </w:rPr>
            </w:pPr>
            <w:r w:rsidRPr="00675D38">
              <w:rPr>
                <w:rFonts w:ascii="Arial" w:hAnsi="Arial" w:cs="Arial"/>
                <w:b/>
                <w:noProof/>
                <w:color w:val="000000"/>
                <w:sz w:val="20"/>
                <w:szCs w:val="20"/>
              </w:rPr>
              <w:t>•</w:t>
            </w:r>
            <w:r w:rsidRPr="00675D38">
              <w:rPr>
                <w:rFonts w:ascii="Arial" w:hAnsi="Arial" w:cs="Arial"/>
                <w:b/>
                <w:noProof/>
                <w:color w:val="000000"/>
                <w:sz w:val="20"/>
                <w:szCs w:val="20"/>
              </w:rPr>
              <w:tab/>
              <w:t>Added 3 new sections ie. Health 100/100L, Health 165, and PE 104 for Spring 2011.  New sections warranted due to previous 100% enrollment to capacity in all sections year in and year out.  Not shown in Spring 2011 schedule of classes, yet each section exceeded enrollment loads again.</w:t>
            </w:r>
          </w:p>
          <w:p w:rsidR="00675D38" w:rsidRDefault="00675D38" w:rsidP="00675D38">
            <w:pPr>
              <w:rPr>
                <w:rFonts w:ascii="Arial" w:hAnsi="Arial" w:cs="Arial"/>
                <w:b/>
                <w:noProof/>
                <w:color w:val="000000"/>
                <w:sz w:val="20"/>
                <w:szCs w:val="20"/>
              </w:rPr>
            </w:pPr>
            <w:r w:rsidRPr="00675D38">
              <w:rPr>
                <w:rFonts w:ascii="Arial" w:hAnsi="Arial" w:cs="Arial"/>
                <w:b/>
                <w:noProof/>
                <w:color w:val="000000"/>
                <w:sz w:val="20"/>
                <w:szCs w:val="20"/>
              </w:rPr>
              <w:t>•</w:t>
            </w:r>
            <w:r w:rsidRPr="00675D38">
              <w:rPr>
                <w:rFonts w:ascii="Arial" w:hAnsi="Arial" w:cs="Arial"/>
                <w:b/>
                <w:noProof/>
                <w:color w:val="000000"/>
                <w:sz w:val="20"/>
                <w:szCs w:val="20"/>
              </w:rPr>
              <w:tab/>
              <w:t>Fall 2010 Health Discipline reached an all time record high of WSCH/FTEF of 1106 and an enrollment to capacity load of 105.72%.</w:t>
            </w:r>
          </w:p>
          <w:p w:rsidR="005F5333" w:rsidRPr="005D614D" w:rsidRDefault="00D05DCB" w:rsidP="00675D38">
            <w:pPr>
              <w:rPr>
                <w:rFonts w:ascii="Arial" w:hAnsi="Arial" w:cs="Arial"/>
                <w:b/>
                <w:color w:val="000000"/>
                <w:sz w:val="20"/>
                <w:szCs w:val="20"/>
              </w:rPr>
            </w:pP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5A648E" w:rsidRDefault="00D05DC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D05DCB"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sidR="00513A5B">
              <w:rPr>
                <w:rFonts w:ascii="Arial" w:hAnsi="Arial" w:cs="Arial"/>
                <w:b/>
                <w:noProof/>
                <w:color w:val="000000"/>
                <w:sz w:val="20"/>
                <w:szCs w:val="20"/>
              </w:rPr>
              <w:t> </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05DCB" w:rsidP="00C10C1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0C11">
              <w:rPr>
                <w:rFonts w:ascii="Arial" w:hAnsi="Arial" w:cs="Arial"/>
                <w:b/>
                <w:color w:val="000000"/>
                <w:sz w:val="20"/>
                <w:szCs w:val="20"/>
              </w:rPr>
              <w:t>Hugh Gerhardt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05DCB" w:rsidP="00C10C1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0C11">
              <w:rPr>
                <w:rFonts w:ascii="Arial" w:hAnsi="Arial" w:cs="Arial"/>
                <w:b/>
                <w:color w:val="000000"/>
                <w:sz w:val="20"/>
                <w:szCs w:val="20"/>
              </w:rPr>
              <w:t>Kelly Falcone</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05DCB" w:rsidP="00C10C1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0C11">
              <w:rPr>
                <w:rFonts w:ascii="Arial" w:hAnsi="Arial" w:cs="Arial"/>
                <w:b/>
                <w:color w:val="000000"/>
                <w:sz w:val="20"/>
                <w:szCs w:val="20"/>
              </w:rPr>
              <w:t>Dan Early</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D05DCB" w:rsidP="00C10C1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0C11">
              <w:rPr>
                <w:rFonts w:ascii="Arial" w:hAnsi="Arial" w:cs="Arial"/>
                <w:b/>
                <w:color w:val="000000"/>
                <w:sz w:val="20"/>
                <w:szCs w:val="20"/>
              </w:rPr>
              <w:t>Robert Vetter</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D05DCB" w:rsidP="00C10C1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0C11">
              <w:rPr>
                <w:rFonts w:ascii="Arial" w:hAnsi="Arial" w:cs="Arial"/>
                <w:b/>
                <w:color w:val="000000"/>
                <w:sz w:val="20"/>
                <w:szCs w:val="20"/>
              </w:rPr>
              <w:t>Melissa Grant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D05DCB" w:rsidP="00C10C1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10C11">
              <w:rPr>
                <w:rFonts w:ascii="Arial" w:hAnsi="Arial" w:cs="Arial"/>
                <w:b/>
                <w:color w:val="000000"/>
                <w:sz w:val="20"/>
                <w:szCs w:val="20"/>
              </w:rPr>
              <w:t>Scott Lawson, and Patti Waterman</w:t>
            </w:r>
            <w:bookmarkStart w:id="11" w:name="_GoBack"/>
            <w:bookmarkEnd w:id="11"/>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lastRenderedPageBreak/>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8F" w:rsidRDefault="008A778F">
      <w:r>
        <w:separator/>
      </w:r>
    </w:p>
  </w:endnote>
  <w:endnote w:type="continuationSeparator" w:id="0">
    <w:p w:rsidR="008A778F" w:rsidRDefault="008A7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26" w:rsidRDefault="00E90226">
    <w:r>
      <w:t xml:space="preserve">Plan for Academic Year 2010-11                                                                                                                                                  Page </w:t>
    </w:r>
    <w:r w:rsidR="00D05DCB">
      <w:fldChar w:fldCharType="begin"/>
    </w:r>
    <w:r>
      <w:instrText xml:space="preserve"> PAGE </w:instrText>
    </w:r>
    <w:r w:rsidR="00D05DCB">
      <w:fldChar w:fldCharType="separate"/>
    </w:r>
    <w:r w:rsidR="00E4720E">
      <w:rPr>
        <w:noProof/>
      </w:rPr>
      <w:t>4</w:t>
    </w:r>
    <w:r w:rsidR="00D05DCB">
      <w:rPr>
        <w:noProof/>
      </w:rPr>
      <w:fldChar w:fldCharType="end"/>
    </w:r>
    <w:r>
      <w:t xml:space="preserve"> of </w:t>
    </w:r>
    <w:r w:rsidR="00D05DCB">
      <w:fldChar w:fldCharType="begin"/>
    </w:r>
    <w:r w:rsidR="008A778F">
      <w:instrText xml:space="preserve"> NUMPAGES  </w:instrText>
    </w:r>
    <w:r w:rsidR="00D05DCB">
      <w:fldChar w:fldCharType="separate"/>
    </w:r>
    <w:r w:rsidR="00E4720E">
      <w:rPr>
        <w:noProof/>
      </w:rPr>
      <w:t>7</w:t>
    </w:r>
    <w:r w:rsidR="00D05DCB">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8F" w:rsidRDefault="008A778F">
      <w:r>
        <w:separator/>
      </w:r>
    </w:p>
  </w:footnote>
  <w:footnote w:type="continuationSeparator" w:id="0">
    <w:p w:rsidR="008A778F" w:rsidRDefault="008A7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3172"/>
    <w:rsid w:val="00007089"/>
    <w:rsid w:val="00015A8C"/>
    <w:rsid w:val="000162C4"/>
    <w:rsid w:val="000173EE"/>
    <w:rsid w:val="000179AA"/>
    <w:rsid w:val="00020056"/>
    <w:rsid w:val="00021063"/>
    <w:rsid w:val="000252F8"/>
    <w:rsid w:val="00035B65"/>
    <w:rsid w:val="0004273D"/>
    <w:rsid w:val="00046F05"/>
    <w:rsid w:val="00053031"/>
    <w:rsid w:val="00063CBD"/>
    <w:rsid w:val="00067F15"/>
    <w:rsid w:val="0007215C"/>
    <w:rsid w:val="00085C80"/>
    <w:rsid w:val="000A20D0"/>
    <w:rsid w:val="000A6DA8"/>
    <w:rsid w:val="000B0ED7"/>
    <w:rsid w:val="000B2E0B"/>
    <w:rsid w:val="000D3AC2"/>
    <w:rsid w:val="000E52F8"/>
    <w:rsid w:val="000F1943"/>
    <w:rsid w:val="0010294D"/>
    <w:rsid w:val="001055E9"/>
    <w:rsid w:val="00114E52"/>
    <w:rsid w:val="001155AB"/>
    <w:rsid w:val="00123707"/>
    <w:rsid w:val="00124215"/>
    <w:rsid w:val="00127B38"/>
    <w:rsid w:val="0013013D"/>
    <w:rsid w:val="0013019A"/>
    <w:rsid w:val="001460D9"/>
    <w:rsid w:val="00147B71"/>
    <w:rsid w:val="0016016E"/>
    <w:rsid w:val="00183062"/>
    <w:rsid w:val="00184270"/>
    <w:rsid w:val="001B0931"/>
    <w:rsid w:val="001B4CCB"/>
    <w:rsid w:val="001C3096"/>
    <w:rsid w:val="001C6E9E"/>
    <w:rsid w:val="001D000B"/>
    <w:rsid w:val="001E1DD1"/>
    <w:rsid w:val="001E4DAB"/>
    <w:rsid w:val="001F07E5"/>
    <w:rsid w:val="0020464C"/>
    <w:rsid w:val="002067F0"/>
    <w:rsid w:val="00207533"/>
    <w:rsid w:val="0021683C"/>
    <w:rsid w:val="0022037B"/>
    <w:rsid w:val="00220C1E"/>
    <w:rsid w:val="002274CF"/>
    <w:rsid w:val="002505E1"/>
    <w:rsid w:val="0025150D"/>
    <w:rsid w:val="00264C41"/>
    <w:rsid w:val="00267248"/>
    <w:rsid w:val="00271C1B"/>
    <w:rsid w:val="002721E2"/>
    <w:rsid w:val="00276985"/>
    <w:rsid w:val="00276B95"/>
    <w:rsid w:val="00291BAB"/>
    <w:rsid w:val="0029783B"/>
    <w:rsid w:val="002B7076"/>
    <w:rsid w:val="002C129F"/>
    <w:rsid w:val="002C2DD5"/>
    <w:rsid w:val="002C3248"/>
    <w:rsid w:val="002D2867"/>
    <w:rsid w:val="002D5206"/>
    <w:rsid w:val="002E0B34"/>
    <w:rsid w:val="002E47F6"/>
    <w:rsid w:val="002F2151"/>
    <w:rsid w:val="0030169B"/>
    <w:rsid w:val="00304B00"/>
    <w:rsid w:val="003059CC"/>
    <w:rsid w:val="0032174B"/>
    <w:rsid w:val="00323B73"/>
    <w:rsid w:val="003251A9"/>
    <w:rsid w:val="00325291"/>
    <w:rsid w:val="00343125"/>
    <w:rsid w:val="00350A9E"/>
    <w:rsid w:val="003531A1"/>
    <w:rsid w:val="00361AA6"/>
    <w:rsid w:val="00364AE5"/>
    <w:rsid w:val="003700B8"/>
    <w:rsid w:val="00372CB5"/>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10AA"/>
    <w:rsid w:val="00411652"/>
    <w:rsid w:val="00431A08"/>
    <w:rsid w:val="00433068"/>
    <w:rsid w:val="00433C6E"/>
    <w:rsid w:val="00441A62"/>
    <w:rsid w:val="00441EF0"/>
    <w:rsid w:val="0044421C"/>
    <w:rsid w:val="00450325"/>
    <w:rsid w:val="00462C42"/>
    <w:rsid w:val="00473B5F"/>
    <w:rsid w:val="00477D88"/>
    <w:rsid w:val="00481108"/>
    <w:rsid w:val="004A6EEF"/>
    <w:rsid w:val="004B28AC"/>
    <w:rsid w:val="004B78A8"/>
    <w:rsid w:val="004C3384"/>
    <w:rsid w:val="004C3414"/>
    <w:rsid w:val="004C3653"/>
    <w:rsid w:val="004D4096"/>
    <w:rsid w:val="004D6341"/>
    <w:rsid w:val="004D7512"/>
    <w:rsid w:val="004E311D"/>
    <w:rsid w:val="004E4C7D"/>
    <w:rsid w:val="004E7378"/>
    <w:rsid w:val="005006D4"/>
    <w:rsid w:val="00506CBC"/>
    <w:rsid w:val="00513021"/>
    <w:rsid w:val="00513A5B"/>
    <w:rsid w:val="00514A55"/>
    <w:rsid w:val="00514EE5"/>
    <w:rsid w:val="005329D9"/>
    <w:rsid w:val="005448BD"/>
    <w:rsid w:val="00544E4C"/>
    <w:rsid w:val="00552A8C"/>
    <w:rsid w:val="005565EF"/>
    <w:rsid w:val="005635B6"/>
    <w:rsid w:val="00564122"/>
    <w:rsid w:val="00565C51"/>
    <w:rsid w:val="00567278"/>
    <w:rsid w:val="005701E6"/>
    <w:rsid w:val="00572848"/>
    <w:rsid w:val="005760D9"/>
    <w:rsid w:val="00583DF1"/>
    <w:rsid w:val="00590FAD"/>
    <w:rsid w:val="00595E47"/>
    <w:rsid w:val="005A648E"/>
    <w:rsid w:val="005A7F0C"/>
    <w:rsid w:val="005C5E35"/>
    <w:rsid w:val="005D2663"/>
    <w:rsid w:val="005D3967"/>
    <w:rsid w:val="005D3EA6"/>
    <w:rsid w:val="005D460E"/>
    <w:rsid w:val="005D614D"/>
    <w:rsid w:val="005D664F"/>
    <w:rsid w:val="005D7971"/>
    <w:rsid w:val="005E6B49"/>
    <w:rsid w:val="005F0EAF"/>
    <w:rsid w:val="005F1531"/>
    <w:rsid w:val="005F2677"/>
    <w:rsid w:val="005F3033"/>
    <w:rsid w:val="005F4CA3"/>
    <w:rsid w:val="005F5333"/>
    <w:rsid w:val="005F58BB"/>
    <w:rsid w:val="005F64F2"/>
    <w:rsid w:val="005F7ECE"/>
    <w:rsid w:val="00602CC2"/>
    <w:rsid w:val="00604C7A"/>
    <w:rsid w:val="0060580E"/>
    <w:rsid w:val="00610F6E"/>
    <w:rsid w:val="00613B66"/>
    <w:rsid w:val="0061463F"/>
    <w:rsid w:val="006146B5"/>
    <w:rsid w:val="00624714"/>
    <w:rsid w:val="0063005B"/>
    <w:rsid w:val="006302C2"/>
    <w:rsid w:val="0063168C"/>
    <w:rsid w:val="006374AC"/>
    <w:rsid w:val="00644E8C"/>
    <w:rsid w:val="00647080"/>
    <w:rsid w:val="0064711A"/>
    <w:rsid w:val="00647710"/>
    <w:rsid w:val="006621D9"/>
    <w:rsid w:val="006639FA"/>
    <w:rsid w:val="006752EB"/>
    <w:rsid w:val="00675D38"/>
    <w:rsid w:val="00680036"/>
    <w:rsid w:val="00684891"/>
    <w:rsid w:val="00684FD3"/>
    <w:rsid w:val="00685589"/>
    <w:rsid w:val="00696825"/>
    <w:rsid w:val="006A3B17"/>
    <w:rsid w:val="006A3DF0"/>
    <w:rsid w:val="006C7699"/>
    <w:rsid w:val="006D519D"/>
    <w:rsid w:val="006D620B"/>
    <w:rsid w:val="006D6A75"/>
    <w:rsid w:val="006D76EF"/>
    <w:rsid w:val="006F3F0E"/>
    <w:rsid w:val="006F4B21"/>
    <w:rsid w:val="00700721"/>
    <w:rsid w:val="00703BA7"/>
    <w:rsid w:val="00716D5E"/>
    <w:rsid w:val="007172AF"/>
    <w:rsid w:val="0072163F"/>
    <w:rsid w:val="00726076"/>
    <w:rsid w:val="00733360"/>
    <w:rsid w:val="00734E95"/>
    <w:rsid w:val="00746978"/>
    <w:rsid w:val="0076055C"/>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35894"/>
    <w:rsid w:val="00836D94"/>
    <w:rsid w:val="00844DAA"/>
    <w:rsid w:val="008471B5"/>
    <w:rsid w:val="00861415"/>
    <w:rsid w:val="008635AE"/>
    <w:rsid w:val="00866BCD"/>
    <w:rsid w:val="0087485E"/>
    <w:rsid w:val="00875733"/>
    <w:rsid w:val="00882973"/>
    <w:rsid w:val="008A26A6"/>
    <w:rsid w:val="008A778F"/>
    <w:rsid w:val="008B0094"/>
    <w:rsid w:val="008B31A3"/>
    <w:rsid w:val="008B4B89"/>
    <w:rsid w:val="008C3A90"/>
    <w:rsid w:val="008D1CCB"/>
    <w:rsid w:val="008D23A7"/>
    <w:rsid w:val="008E7095"/>
    <w:rsid w:val="008F4518"/>
    <w:rsid w:val="008F6131"/>
    <w:rsid w:val="00916406"/>
    <w:rsid w:val="00917533"/>
    <w:rsid w:val="009276D0"/>
    <w:rsid w:val="00927AE2"/>
    <w:rsid w:val="00954431"/>
    <w:rsid w:val="00955A83"/>
    <w:rsid w:val="00957D3E"/>
    <w:rsid w:val="009615BF"/>
    <w:rsid w:val="00975167"/>
    <w:rsid w:val="0097768E"/>
    <w:rsid w:val="00984F8E"/>
    <w:rsid w:val="0098634A"/>
    <w:rsid w:val="009871F1"/>
    <w:rsid w:val="0099076E"/>
    <w:rsid w:val="009978F8"/>
    <w:rsid w:val="009A2035"/>
    <w:rsid w:val="009A5964"/>
    <w:rsid w:val="009A5BAC"/>
    <w:rsid w:val="009A6624"/>
    <w:rsid w:val="009A7355"/>
    <w:rsid w:val="009B1D45"/>
    <w:rsid w:val="009B3739"/>
    <w:rsid w:val="009B4607"/>
    <w:rsid w:val="009C3D9E"/>
    <w:rsid w:val="009C50D9"/>
    <w:rsid w:val="009C612B"/>
    <w:rsid w:val="009D2C67"/>
    <w:rsid w:val="009D709C"/>
    <w:rsid w:val="009E2C02"/>
    <w:rsid w:val="009E452B"/>
    <w:rsid w:val="009F14B7"/>
    <w:rsid w:val="009F7985"/>
    <w:rsid w:val="00A051C1"/>
    <w:rsid w:val="00A11B57"/>
    <w:rsid w:val="00A2118A"/>
    <w:rsid w:val="00A2770C"/>
    <w:rsid w:val="00A301DB"/>
    <w:rsid w:val="00A40CA0"/>
    <w:rsid w:val="00A47B7D"/>
    <w:rsid w:val="00A56387"/>
    <w:rsid w:val="00A566D6"/>
    <w:rsid w:val="00A651A8"/>
    <w:rsid w:val="00A753E3"/>
    <w:rsid w:val="00A7778A"/>
    <w:rsid w:val="00A81FBA"/>
    <w:rsid w:val="00A87317"/>
    <w:rsid w:val="00A91F66"/>
    <w:rsid w:val="00AA5206"/>
    <w:rsid w:val="00AA5812"/>
    <w:rsid w:val="00AB2E13"/>
    <w:rsid w:val="00AB6402"/>
    <w:rsid w:val="00AB72C6"/>
    <w:rsid w:val="00AC363A"/>
    <w:rsid w:val="00AC73A9"/>
    <w:rsid w:val="00AD1A10"/>
    <w:rsid w:val="00AD3587"/>
    <w:rsid w:val="00AD40BF"/>
    <w:rsid w:val="00AD4D46"/>
    <w:rsid w:val="00AD5B9E"/>
    <w:rsid w:val="00B004E2"/>
    <w:rsid w:val="00B01F0E"/>
    <w:rsid w:val="00B06C7E"/>
    <w:rsid w:val="00B06CBF"/>
    <w:rsid w:val="00B103E3"/>
    <w:rsid w:val="00B26D14"/>
    <w:rsid w:val="00B41988"/>
    <w:rsid w:val="00B47869"/>
    <w:rsid w:val="00B52EA1"/>
    <w:rsid w:val="00B5609C"/>
    <w:rsid w:val="00B619EC"/>
    <w:rsid w:val="00B67F0C"/>
    <w:rsid w:val="00B73E91"/>
    <w:rsid w:val="00B760F6"/>
    <w:rsid w:val="00B81877"/>
    <w:rsid w:val="00B81D60"/>
    <w:rsid w:val="00B869C5"/>
    <w:rsid w:val="00B9303A"/>
    <w:rsid w:val="00B94584"/>
    <w:rsid w:val="00B94C56"/>
    <w:rsid w:val="00BA38AA"/>
    <w:rsid w:val="00BA6E52"/>
    <w:rsid w:val="00BB6E4B"/>
    <w:rsid w:val="00BB7DA0"/>
    <w:rsid w:val="00BC0B8B"/>
    <w:rsid w:val="00BD39C9"/>
    <w:rsid w:val="00BD40B3"/>
    <w:rsid w:val="00BD5CDE"/>
    <w:rsid w:val="00BE529E"/>
    <w:rsid w:val="00BE5F14"/>
    <w:rsid w:val="00C04FB1"/>
    <w:rsid w:val="00C10C11"/>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7E27"/>
    <w:rsid w:val="00CC282E"/>
    <w:rsid w:val="00CC7D84"/>
    <w:rsid w:val="00CE648C"/>
    <w:rsid w:val="00CF25BD"/>
    <w:rsid w:val="00CF2B8C"/>
    <w:rsid w:val="00CF35E8"/>
    <w:rsid w:val="00D05DCB"/>
    <w:rsid w:val="00D12A7D"/>
    <w:rsid w:val="00D13DF4"/>
    <w:rsid w:val="00D3021D"/>
    <w:rsid w:val="00D41260"/>
    <w:rsid w:val="00D44A3A"/>
    <w:rsid w:val="00D47DCD"/>
    <w:rsid w:val="00D5393D"/>
    <w:rsid w:val="00D56604"/>
    <w:rsid w:val="00D74C35"/>
    <w:rsid w:val="00D76CF3"/>
    <w:rsid w:val="00D77C5B"/>
    <w:rsid w:val="00D84610"/>
    <w:rsid w:val="00D86AB8"/>
    <w:rsid w:val="00D90889"/>
    <w:rsid w:val="00D91C6E"/>
    <w:rsid w:val="00DB024D"/>
    <w:rsid w:val="00DB2210"/>
    <w:rsid w:val="00DB52D2"/>
    <w:rsid w:val="00DC4165"/>
    <w:rsid w:val="00DD41AC"/>
    <w:rsid w:val="00DE19FD"/>
    <w:rsid w:val="00DF2FA6"/>
    <w:rsid w:val="00E02379"/>
    <w:rsid w:val="00E05245"/>
    <w:rsid w:val="00E07D07"/>
    <w:rsid w:val="00E10442"/>
    <w:rsid w:val="00E24175"/>
    <w:rsid w:val="00E2516D"/>
    <w:rsid w:val="00E30726"/>
    <w:rsid w:val="00E32FA7"/>
    <w:rsid w:val="00E3637E"/>
    <w:rsid w:val="00E42562"/>
    <w:rsid w:val="00E4614D"/>
    <w:rsid w:val="00E4720E"/>
    <w:rsid w:val="00E47B6C"/>
    <w:rsid w:val="00E562CE"/>
    <w:rsid w:val="00E57903"/>
    <w:rsid w:val="00E6551C"/>
    <w:rsid w:val="00E66017"/>
    <w:rsid w:val="00E66845"/>
    <w:rsid w:val="00E71798"/>
    <w:rsid w:val="00E746BA"/>
    <w:rsid w:val="00E813BC"/>
    <w:rsid w:val="00E83729"/>
    <w:rsid w:val="00E84823"/>
    <w:rsid w:val="00E848FE"/>
    <w:rsid w:val="00E90226"/>
    <w:rsid w:val="00E969B2"/>
    <w:rsid w:val="00EA3BE8"/>
    <w:rsid w:val="00EA67BE"/>
    <w:rsid w:val="00EA7119"/>
    <w:rsid w:val="00EB45AC"/>
    <w:rsid w:val="00EC50F8"/>
    <w:rsid w:val="00EC551D"/>
    <w:rsid w:val="00EC68EE"/>
    <w:rsid w:val="00EC75F8"/>
    <w:rsid w:val="00EC796A"/>
    <w:rsid w:val="00ED45C5"/>
    <w:rsid w:val="00ED4C3A"/>
    <w:rsid w:val="00EE5222"/>
    <w:rsid w:val="00EE525B"/>
    <w:rsid w:val="00F0379A"/>
    <w:rsid w:val="00F1597E"/>
    <w:rsid w:val="00F20C2D"/>
    <w:rsid w:val="00F222BA"/>
    <w:rsid w:val="00F23510"/>
    <w:rsid w:val="00F244C0"/>
    <w:rsid w:val="00F25353"/>
    <w:rsid w:val="00F266EA"/>
    <w:rsid w:val="00F356E6"/>
    <w:rsid w:val="00F37F85"/>
    <w:rsid w:val="00F50A66"/>
    <w:rsid w:val="00F5497D"/>
    <w:rsid w:val="00F62ABC"/>
    <w:rsid w:val="00F6427E"/>
    <w:rsid w:val="00F834E2"/>
    <w:rsid w:val="00F87003"/>
    <w:rsid w:val="00F9285F"/>
    <w:rsid w:val="00F94B83"/>
    <w:rsid w:val="00FA149B"/>
    <w:rsid w:val="00FA3186"/>
    <w:rsid w:val="00FA3398"/>
    <w:rsid w:val="00FA68A1"/>
    <w:rsid w:val="00FB32E6"/>
    <w:rsid w:val="00FC76E9"/>
    <w:rsid w:val="00FD1536"/>
    <w:rsid w:val="00FD1E8C"/>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706639625">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F3E6-7B44-424C-BC6C-EEE1DD645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7</Pages>
  <Words>2960</Words>
  <Characters>16876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19797</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18</cp:revision>
  <cp:lastPrinted>2011-03-11T21:27:00Z</cp:lastPrinted>
  <dcterms:created xsi:type="dcterms:W3CDTF">2011-03-07T20:13:00Z</dcterms:created>
  <dcterms:modified xsi:type="dcterms:W3CDTF">2011-03-29T17:35:00Z</dcterms:modified>
</cp:coreProperties>
</file>