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8"/>
        <w:gridCol w:w="2422"/>
      </w:tblGrid>
      <w:tr w:rsidR="002E3A76" w:rsidTr="00A97E85">
        <w:trPr>
          <w:trHeight w:val="405"/>
        </w:trPr>
        <w:tc>
          <w:tcPr>
            <w:tcW w:w="10728" w:type="dxa"/>
            <w:shd w:val="clear" w:color="auto" w:fill="auto"/>
            <w:vAlign w:val="bottom"/>
          </w:tcPr>
          <w:p w:rsidR="002E3A76" w:rsidRPr="000C146C" w:rsidRDefault="002E047F" w:rsidP="00573FDF">
            <w:pPr>
              <w:spacing w:after="0"/>
              <w:rPr>
                <w:rFonts w:ascii="Arial" w:hAnsi="Arial" w:cs="Arial"/>
                <w:b/>
                <w:sz w:val="18"/>
                <w:szCs w:val="18"/>
                <w:highlight w:val="lightGray"/>
                <w:u w:val="single"/>
              </w:rPr>
            </w:pPr>
            <w:bookmarkStart w:id="0" w:name="_GoBack"/>
            <w:bookmarkEnd w:id="0"/>
            <w:r>
              <w:rPr>
                <w:b/>
                <w:sz w:val="24"/>
                <w:szCs w:val="24"/>
                <w:highlight w:val="lightGray"/>
                <w:u w:val="single"/>
              </w:rPr>
              <w:t>Geology</w:t>
            </w:r>
          </w:p>
        </w:tc>
        <w:tc>
          <w:tcPr>
            <w:tcW w:w="2448" w:type="dxa"/>
            <w:shd w:val="clear" w:color="auto" w:fill="auto"/>
            <w:vAlign w:val="bottom"/>
          </w:tcPr>
          <w:p w:rsidR="002E3A76" w:rsidRPr="00A97E85" w:rsidRDefault="00CD703D" w:rsidP="002E047F">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2E047F">
              <w:rPr>
                <w:rFonts w:ascii="Arial" w:hAnsi="Arial" w:cs="Arial"/>
                <w:b/>
                <w:color w:val="000000"/>
                <w:sz w:val="18"/>
                <w:szCs w:val="18"/>
                <w:u w:val="single"/>
              </w:rPr>
              <w:t>12/02/2015</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6753EA"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Pr="00A97E85" w:rsidRDefault="001C1471" w:rsidP="00F03DE9">
            <w:pPr>
              <w:rPr>
                <w:b/>
                <w:sz w:val="24"/>
                <w:szCs w:val="24"/>
              </w:rPr>
            </w:pPr>
            <w:r>
              <w:rPr>
                <w:b/>
                <w:sz w:val="24"/>
                <w:szCs w:val="24"/>
                <w:shd w:val="pct12" w:color="auto" w:fill="BFBFBF"/>
              </w:rPr>
              <w:t>Sean Figg</w:t>
            </w:r>
            <w:r w:rsidR="00CD703D">
              <w:rPr>
                <w:b/>
                <w:sz w:val="24"/>
                <w:szCs w:val="24"/>
                <w:shd w:val="pct12" w:color="auto" w:fill="BFBFBF"/>
              </w:rPr>
              <w:fldChar w:fldCharType="begin">
                <w:ffData>
                  <w:name w:val="txtParticipants"/>
                  <w:enabled/>
                  <w:calcOnExit w:val="0"/>
                  <w:textInput/>
                </w:ffData>
              </w:fldChar>
            </w:r>
            <w:bookmarkStart w:id="1" w:name="txtParticipants"/>
            <w:r w:rsidR="00CD703D">
              <w:rPr>
                <w:b/>
                <w:sz w:val="24"/>
                <w:szCs w:val="24"/>
                <w:shd w:val="pct12" w:color="auto" w:fill="BFBFBF"/>
              </w:rPr>
              <w:instrText xml:space="preserve"> FORMTEXT </w:instrText>
            </w:r>
            <w:r w:rsidR="00CD703D">
              <w:rPr>
                <w:b/>
                <w:sz w:val="24"/>
                <w:szCs w:val="24"/>
                <w:shd w:val="pct12" w:color="auto" w:fill="BFBFBF"/>
              </w:rPr>
            </w:r>
            <w:r w:rsidR="00CD703D">
              <w:rPr>
                <w:b/>
                <w:sz w:val="24"/>
                <w:szCs w:val="24"/>
                <w:shd w:val="pct12" w:color="auto" w:fill="BFBFBF"/>
              </w:rPr>
              <w:fldChar w:fldCharType="separate"/>
            </w:r>
            <w:r w:rsidR="00CD703D">
              <w:rPr>
                <w:b/>
                <w:noProof/>
                <w:sz w:val="24"/>
                <w:szCs w:val="24"/>
                <w:shd w:val="pct12" w:color="auto" w:fill="BFBFBF"/>
              </w:rPr>
              <w:t> </w:t>
            </w:r>
            <w:r w:rsidR="00CD703D">
              <w:rPr>
                <w:b/>
                <w:noProof/>
                <w:sz w:val="24"/>
                <w:szCs w:val="24"/>
                <w:shd w:val="pct12" w:color="auto" w:fill="BFBFBF"/>
              </w:rPr>
              <w:t> </w:t>
            </w:r>
            <w:r w:rsidR="00CD703D">
              <w:rPr>
                <w:b/>
                <w:noProof/>
                <w:sz w:val="24"/>
                <w:szCs w:val="24"/>
                <w:shd w:val="pct12" w:color="auto" w:fill="BFBFBF"/>
              </w:rPr>
              <w:t> </w:t>
            </w:r>
            <w:r w:rsidR="00CD703D">
              <w:rPr>
                <w:b/>
                <w:noProof/>
                <w:sz w:val="24"/>
                <w:szCs w:val="24"/>
                <w:shd w:val="pct12" w:color="auto" w:fill="BFBFBF"/>
              </w:rPr>
              <w:t> </w:t>
            </w:r>
            <w:r w:rsidR="00CD703D">
              <w:rPr>
                <w:b/>
                <w:noProof/>
                <w:sz w:val="24"/>
                <w:szCs w:val="24"/>
                <w:shd w:val="pct12" w:color="auto" w:fill="BFBFBF"/>
              </w:rPr>
              <w:t> </w:t>
            </w:r>
            <w:r w:rsidR="00CD703D">
              <w:rPr>
                <w:b/>
                <w:sz w:val="24"/>
                <w:szCs w:val="24"/>
                <w:shd w:val="pct12" w:color="auto" w:fill="BFBFBF"/>
              </w:rPr>
              <w:fldChar w:fldCharType="end"/>
            </w:r>
            <w:bookmarkEnd w:id="1"/>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7032A0" w:rsidRDefault="006753EA" w:rsidP="007032A0">
            <w:pPr>
              <w:pStyle w:val="ListParagraph"/>
              <w:numPr>
                <w:ilvl w:val="1"/>
                <w:numId w:val="7"/>
              </w:numPr>
              <w:spacing w:after="0" w:line="240" w:lineRule="auto"/>
              <w:rPr>
                <w:b/>
              </w:rPr>
            </w:pPr>
            <w:hyperlink r:id="rId12" w:history="1">
              <w:r w:rsidR="007032A0">
                <w:rPr>
                  <w:rStyle w:val="Hyperlink"/>
                </w:rPr>
                <w:t>Enrollment, Enrollment Load, WSCH, and FTEF</w:t>
              </w:r>
            </w:hyperlink>
          </w:p>
          <w:p w:rsidR="007032A0" w:rsidRDefault="006753EA" w:rsidP="007032A0">
            <w:pPr>
              <w:pStyle w:val="ListParagraph"/>
              <w:numPr>
                <w:ilvl w:val="1"/>
                <w:numId w:val="7"/>
              </w:numPr>
              <w:spacing w:after="0" w:line="240" w:lineRule="auto"/>
              <w:rPr>
                <w:b/>
              </w:rPr>
            </w:pPr>
            <w:hyperlink r:id="rId13" w:history="1">
              <w:r w:rsidR="007032A0">
                <w:rPr>
                  <w:rStyle w:val="Hyperlink"/>
                </w:rPr>
                <w:t>Course Success and Retention Rates</w:t>
              </w:r>
            </w:hyperlink>
          </w:p>
          <w:p w:rsidR="007032A0" w:rsidRDefault="006753EA" w:rsidP="007032A0">
            <w:pPr>
              <w:pStyle w:val="ListParagraph"/>
              <w:numPr>
                <w:ilvl w:val="1"/>
                <w:numId w:val="7"/>
              </w:numPr>
              <w:spacing w:after="80" w:line="240" w:lineRule="auto"/>
            </w:pPr>
            <w:hyperlink r:id="rId14" w:history="1">
              <w:r w:rsidR="007032A0">
                <w:rPr>
                  <w:rStyle w:val="Hyperlink"/>
                </w:rPr>
                <w:t>Degrees and Certifications</w:t>
              </w:r>
            </w:hyperlink>
          </w:p>
          <w:p w:rsidR="00837687" w:rsidRPr="003D04DC" w:rsidRDefault="003D04DC" w:rsidP="003D04DC">
            <w:r>
              <w:rPr>
                <w:rFonts w:ascii="Times New Roman" w:hAnsi="Times New Roman"/>
                <w:sz w:val="24"/>
                <w:szCs w:val="24"/>
                <w:shd w:val="pct10" w:color="auto" w:fill="D9D9D9"/>
              </w:rPr>
              <w:t>The enrollment in the geology program has remained steady during the previous year. It continues to be around ten students below other year average</w:t>
            </w:r>
            <w:r w:rsidR="00005020">
              <w:rPr>
                <w:rFonts w:ascii="Times New Roman" w:hAnsi="Times New Roman"/>
                <w:sz w:val="24"/>
                <w:szCs w:val="24"/>
                <w:shd w:val="pct10" w:color="auto" w:fill="D9D9D9"/>
              </w:rPr>
              <w:t>s</w:t>
            </w:r>
            <w:r w:rsidR="007E034E">
              <w:rPr>
                <w:rFonts w:ascii="Times New Roman" w:hAnsi="Times New Roman"/>
                <w:sz w:val="24"/>
                <w:szCs w:val="24"/>
                <w:shd w:val="pct10" w:color="auto" w:fill="D9D9D9"/>
              </w:rPr>
              <w:t>,</w:t>
            </w:r>
            <w:r w:rsidR="00005020">
              <w:rPr>
                <w:rFonts w:ascii="Times New Roman" w:hAnsi="Times New Roman"/>
                <w:sz w:val="24"/>
                <w:szCs w:val="24"/>
                <w:shd w:val="pct10" w:color="auto" w:fill="D9D9D9"/>
              </w:rPr>
              <w:t xml:space="preserve"> but the campus on a whole is </w:t>
            </w:r>
            <w:r w:rsidR="007E034E">
              <w:rPr>
                <w:rFonts w:ascii="Times New Roman" w:hAnsi="Times New Roman"/>
                <w:sz w:val="24"/>
                <w:szCs w:val="24"/>
                <w:shd w:val="pct10" w:color="auto" w:fill="D9D9D9"/>
              </w:rPr>
              <w:t>experiencing a decline in</w:t>
            </w:r>
            <w:r>
              <w:rPr>
                <w:rFonts w:ascii="Times New Roman" w:hAnsi="Times New Roman"/>
                <w:sz w:val="24"/>
                <w:szCs w:val="24"/>
                <w:shd w:val="pct10" w:color="auto" w:fill="D9D9D9"/>
              </w:rPr>
              <w:t xml:space="preserve"> enrollment. The census load remains steady at 84.3% and the WSCH contact hours have even grown slightly</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which is a positive for the program. With the retirement of Jim </w:t>
            </w:r>
            <w:r w:rsidR="00F40EC5">
              <w:rPr>
                <w:rFonts w:ascii="Times New Roman" w:hAnsi="Times New Roman"/>
                <w:sz w:val="24"/>
                <w:szCs w:val="24"/>
                <w:shd w:val="pct10" w:color="auto" w:fill="D9D9D9"/>
              </w:rPr>
              <w:t>Pesa</w:t>
            </w:r>
            <w:r>
              <w:rPr>
                <w:rFonts w:ascii="Times New Roman" w:hAnsi="Times New Roman"/>
                <w:sz w:val="24"/>
                <w:szCs w:val="24"/>
                <w:shd w:val="pct10" w:color="auto" w:fill="D9D9D9"/>
              </w:rPr>
              <w:t>vento</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the number of course</w:t>
            </w:r>
            <w:r w:rsidR="007E034E">
              <w:rPr>
                <w:rFonts w:ascii="Times New Roman" w:hAnsi="Times New Roman"/>
                <w:sz w:val="24"/>
                <w:szCs w:val="24"/>
                <w:shd w:val="pct10" w:color="auto" w:fill="D9D9D9"/>
              </w:rPr>
              <w:t>s</w:t>
            </w:r>
            <w:r>
              <w:rPr>
                <w:rFonts w:ascii="Times New Roman" w:hAnsi="Times New Roman"/>
                <w:sz w:val="24"/>
                <w:szCs w:val="24"/>
                <w:shd w:val="pct10" w:color="auto" w:fill="D9D9D9"/>
              </w:rPr>
              <w:t xml:space="preserve"> taught by adjuncts did increase</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rising from 12% in 2013-1214 to 17% during the 2014-2015 academic year. Success and enrollment rates were very interesting for t</w:t>
            </w:r>
            <w:r w:rsidR="007E034E">
              <w:rPr>
                <w:rFonts w:ascii="Times New Roman" w:hAnsi="Times New Roman"/>
                <w:sz w:val="24"/>
                <w:szCs w:val="24"/>
                <w:shd w:val="pct10" w:color="auto" w:fill="D9D9D9"/>
              </w:rPr>
              <w:t>he previous academic year. Over</w:t>
            </w:r>
            <w:r>
              <w:rPr>
                <w:rFonts w:ascii="Times New Roman" w:hAnsi="Times New Roman"/>
                <w:sz w:val="24"/>
                <w:szCs w:val="24"/>
                <w:shd w:val="pct10" w:color="auto" w:fill="D9D9D9"/>
              </w:rPr>
              <w:t>all</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the success rate increased by a full p</w:t>
            </w:r>
            <w:r w:rsidR="008748FE">
              <w:rPr>
                <w:rFonts w:ascii="Times New Roman" w:hAnsi="Times New Roman"/>
                <w:sz w:val="24"/>
                <w:szCs w:val="24"/>
                <w:shd w:val="pct10" w:color="auto" w:fill="D9D9D9"/>
              </w:rPr>
              <w:t>ercent</w:t>
            </w:r>
            <w:r w:rsidR="007E034E">
              <w:rPr>
                <w:rFonts w:ascii="Times New Roman" w:hAnsi="Times New Roman"/>
                <w:sz w:val="24"/>
                <w:szCs w:val="24"/>
                <w:shd w:val="pct10" w:color="auto" w:fill="D9D9D9"/>
              </w:rPr>
              <w:t>,</w:t>
            </w:r>
            <w:r w:rsidR="008748FE">
              <w:rPr>
                <w:rFonts w:ascii="Times New Roman" w:hAnsi="Times New Roman"/>
                <w:sz w:val="24"/>
                <w:szCs w:val="24"/>
                <w:shd w:val="pct10" w:color="auto" w:fill="D9D9D9"/>
              </w:rPr>
              <w:t xml:space="preserve"> now at a comfortable 76</w:t>
            </w:r>
            <w:r>
              <w:rPr>
                <w:rFonts w:ascii="Times New Roman" w:hAnsi="Times New Roman"/>
                <w:sz w:val="24"/>
                <w:szCs w:val="24"/>
                <w:shd w:val="pct10" w:color="auto" w:fill="D9D9D9"/>
              </w:rPr>
              <w:t>%. While day rates increased a healthy climb in success rates 74.9% to 77.4%</w:t>
            </w:r>
            <w:r w:rsidR="0027708C">
              <w:rPr>
                <w:rFonts w:ascii="Times New Roman" w:hAnsi="Times New Roman"/>
                <w:sz w:val="24"/>
                <w:szCs w:val="24"/>
                <w:shd w:val="pct10" w:color="auto" w:fill="D9D9D9"/>
              </w:rPr>
              <w:t xml:space="preserve">, </w:t>
            </w:r>
            <w:r>
              <w:rPr>
                <w:rFonts w:ascii="Times New Roman" w:hAnsi="Times New Roman"/>
                <w:sz w:val="24"/>
                <w:szCs w:val="24"/>
                <w:shd w:val="pct10" w:color="auto" w:fill="D9D9D9"/>
              </w:rPr>
              <w:t>evening courses experienced a decline. Both evening and day classes experienced a decline in an enrollment with evening classes down 19 students in total. Overall</w:t>
            </w:r>
            <w:r w:rsidR="007E034E">
              <w:rPr>
                <w:rFonts w:ascii="Times New Roman" w:hAnsi="Times New Roman"/>
                <w:sz w:val="24"/>
                <w:szCs w:val="24"/>
                <w:shd w:val="pct10" w:color="auto" w:fill="D9D9D9"/>
              </w:rPr>
              <w:t>, rete</w:t>
            </w:r>
            <w:r>
              <w:rPr>
                <w:rFonts w:ascii="Times New Roman" w:hAnsi="Times New Roman"/>
                <w:sz w:val="24"/>
                <w:szCs w:val="24"/>
                <w:shd w:val="pct10" w:color="auto" w:fill="D9D9D9"/>
              </w:rPr>
              <w:t>ntion rates are still much higher than in previous years</w:t>
            </w:r>
            <w:r w:rsidR="007D7989">
              <w:rPr>
                <w:rFonts w:ascii="Times New Roman" w:hAnsi="Times New Roman"/>
                <w:noProof/>
                <w:sz w:val="24"/>
                <w:szCs w:val="24"/>
                <w:shd w:val="pct10" w:color="auto" w:fill="D9D9D9"/>
              </w:rPr>
              <w:t xml:space="preserve">. </w:t>
            </w:r>
            <w:r w:rsidR="00BA72B6">
              <w:rPr>
                <w:rFonts w:ascii="Times New Roman" w:hAnsi="Times New Roman"/>
                <w:noProof/>
                <w:sz w:val="24"/>
                <w:szCs w:val="24"/>
                <w:shd w:val="pct10" w:color="auto" w:fill="D9D9D9"/>
              </w:rPr>
              <w:t xml:space="preserve">  </w:t>
            </w:r>
            <w:r w:rsidR="00854BC7">
              <w:rPr>
                <w:rFonts w:ascii="Times New Roman" w:hAnsi="Times New Roman"/>
                <w:noProof/>
                <w:sz w:val="24"/>
                <w:szCs w:val="24"/>
                <w:shd w:val="pct10" w:color="auto" w:fill="D9D9D9"/>
              </w:rPr>
              <w:t xml:space="preserve">   </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rsidR="00837687" w:rsidRPr="003D04DC" w:rsidRDefault="003D04DC" w:rsidP="003D04DC">
            <w:r>
              <w:rPr>
                <w:rFonts w:ascii="Times New Roman" w:hAnsi="Times New Roman"/>
                <w:sz w:val="24"/>
                <w:szCs w:val="24"/>
                <w:shd w:val="pct10" w:color="auto" w:fill="D9D9D9"/>
              </w:rPr>
              <w:t>During the 2015-2016 academic year</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the geology program will update and revise the SLO’s for GEOL 110: The Geology of National Parks. New SLO’s will be put in place and evaluated during the spring semester when the course is offered. During the fall semester</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nearly all of the SLO’s and assessments for the geology program have been added or updated in the new Tracdat website. The geology program </w:t>
            </w:r>
            <w:r w:rsidR="00F40EC5">
              <w:rPr>
                <w:rFonts w:ascii="Times New Roman" w:hAnsi="Times New Roman"/>
                <w:sz w:val="24"/>
                <w:szCs w:val="24"/>
                <w:shd w:val="pct10" w:color="auto" w:fill="D9D9D9"/>
              </w:rPr>
              <w:t>is now focused on replacing out-of-</w:t>
            </w:r>
            <w:r>
              <w:rPr>
                <w:rFonts w:ascii="Times New Roman" w:hAnsi="Times New Roman"/>
                <w:sz w:val="24"/>
                <w:szCs w:val="24"/>
                <w:shd w:val="pct10" w:color="auto" w:fill="D9D9D9"/>
              </w:rPr>
              <w:t>date SLO’s and keeping current with the assessment timelines.</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lastRenderedPageBreak/>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76419A" w:rsidRPr="0076419A" w:rsidRDefault="0076419A" w:rsidP="0076419A">
            <w:r>
              <w:rPr>
                <w:rFonts w:ascii="Times New Roman" w:hAnsi="Times New Roman"/>
                <w:sz w:val="24"/>
                <w:szCs w:val="24"/>
                <w:shd w:val="pct10" w:color="auto" w:fill="D9D9D9"/>
              </w:rPr>
              <w:t>Increase in the newly implemented AS-T degree continues. More and more students call and set up appointments to discuss the program. As the AS-T develops and word spreads</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enrollment will continue to increase. Last year</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the geology </w:t>
            </w:r>
            <w:r w:rsidR="00005020">
              <w:rPr>
                <w:rFonts w:ascii="Times New Roman" w:hAnsi="Times New Roman"/>
                <w:sz w:val="24"/>
                <w:szCs w:val="24"/>
                <w:shd w:val="pct10" w:color="auto" w:fill="D9D9D9"/>
              </w:rPr>
              <w:t xml:space="preserve">department gained a trinocular </w:t>
            </w:r>
            <w:r>
              <w:rPr>
                <w:rFonts w:ascii="Times New Roman" w:hAnsi="Times New Roman"/>
                <w:sz w:val="24"/>
                <w:szCs w:val="24"/>
                <w:shd w:val="pct10" w:color="auto" w:fill="D9D9D9"/>
              </w:rPr>
              <w:t>polar</w:t>
            </w:r>
            <w:r w:rsidR="00005020">
              <w:rPr>
                <w:rFonts w:ascii="Times New Roman" w:hAnsi="Times New Roman"/>
                <w:sz w:val="24"/>
                <w:szCs w:val="24"/>
                <w:shd w:val="pct10" w:color="auto" w:fill="D9D9D9"/>
              </w:rPr>
              <w:t>izing</w:t>
            </w:r>
            <w:r>
              <w:rPr>
                <w:rFonts w:ascii="Times New Roman" w:hAnsi="Times New Roman"/>
                <w:sz w:val="24"/>
                <w:szCs w:val="24"/>
                <w:shd w:val="pct10" w:color="auto" w:fill="D9D9D9"/>
              </w:rPr>
              <w:t xml:space="preserve"> microscope. This is essential in showing students rocks and minerals on a microscopic scale. To fully immerse students in the process of geology processes and thin sections</w:t>
            </w:r>
            <w:r w:rsidR="007E034E">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additional equipment and the necessary facilities will be required down the line. The expansion of the GEOL 195 Regional Field Courses continues. The ground work has been completed an</w:t>
            </w:r>
            <w:r w:rsidR="0027708C">
              <w:rPr>
                <w:rFonts w:ascii="Times New Roman" w:hAnsi="Times New Roman"/>
                <w:sz w:val="24"/>
                <w:szCs w:val="24"/>
                <w:shd w:val="pct10" w:color="auto" w:fill="D9D9D9"/>
              </w:rPr>
              <w:t>d all sections are in CurricUNET</w:t>
            </w:r>
            <w:r>
              <w:rPr>
                <w:rFonts w:ascii="Times New Roman" w:hAnsi="Times New Roman"/>
                <w:sz w:val="24"/>
                <w:szCs w:val="24"/>
                <w:shd w:val="pct10" w:color="auto" w:fill="D9D9D9"/>
              </w:rPr>
              <w:t xml:space="preserve"> and in the course catalog. One field course was run during </w:t>
            </w:r>
            <w:r w:rsidR="00F40EC5">
              <w:rPr>
                <w:rFonts w:ascii="Times New Roman" w:hAnsi="Times New Roman"/>
                <w:sz w:val="24"/>
                <w:szCs w:val="24"/>
                <w:shd w:val="pct10" w:color="auto" w:fill="D9D9D9"/>
              </w:rPr>
              <w:t>Spring</w:t>
            </w:r>
            <w:r>
              <w:rPr>
                <w:rFonts w:ascii="Times New Roman" w:hAnsi="Times New Roman"/>
                <w:sz w:val="24"/>
                <w:szCs w:val="24"/>
                <w:shd w:val="pct10" w:color="auto" w:fill="D9D9D9"/>
              </w:rPr>
              <w:t xml:space="preserve"> 2015 with great success.</w:t>
            </w:r>
            <w:r w:rsidR="007E034E">
              <w:rPr>
                <w:rFonts w:ascii="Times New Roman" w:hAnsi="Times New Roman"/>
                <w:sz w:val="24"/>
                <w:szCs w:val="24"/>
                <w:shd w:val="pct10" w:color="auto" w:fill="D9D9D9"/>
              </w:rPr>
              <w:t xml:space="preserve">  The program has even expanded</w:t>
            </w:r>
            <w:r>
              <w:rPr>
                <w:rFonts w:ascii="Times New Roman" w:hAnsi="Times New Roman"/>
                <w:sz w:val="24"/>
                <w:szCs w:val="24"/>
                <w:shd w:val="pct10" w:color="auto" w:fill="D9D9D9"/>
              </w:rPr>
              <w:t xml:space="preserve"> our </w:t>
            </w:r>
            <w:r w:rsidR="002E25E0">
              <w:rPr>
                <w:rFonts w:ascii="Times New Roman" w:hAnsi="Times New Roman"/>
                <w:sz w:val="24"/>
                <w:szCs w:val="24"/>
                <w:shd w:val="pct10" w:color="auto" w:fill="D9D9D9"/>
              </w:rPr>
              <w:t>day class offerings and hired a bright new adjunct</w:t>
            </w:r>
            <w:r w:rsidR="00F40EC5">
              <w:rPr>
                <w:rFonts w:ascii="Times New Roman" w:hAnsi="Times New Roman"/>
                <w:sz w:val="24"/>
                <w:szCs w:val="24"/>
                <w:shd w:val="pct10" w:color="auto" w:fill="D9D9D9"/>
              </w:rPr>
              <w:t>,</w:t>
            </w:r>
            <w:r w:rsidR="002E25E0">
              <w:rPr>
                <w:rFonts w:ascii="Times New Roman" w:hAnsi="Times New Roman"/>
                <w:sz w:val="24"/>
                <w:szCs w:val="24"/>
                <w:shd w:val="pct10" w:color="auto" w:fill="D9D9D9"/>
              </w:rPr>
              <w:t xml:space="preserve"> who</w:t>
            </w:r>
            <w:r>
              <w:rPr>
                <w:rFonts w:ascii="Times New Roman" w:hAnsi="Times New Roman"/>
                <w:sz w:val="24"/>
                <w:szCs w:val="24"/>
                <w:shd w:val="pct10" w:color="auto" w:fill="D9D9D9"/>
              </w:rPr>
              <w:t xml:space="preserve"> has received high praise from students and colleagues</w:t>
            </w:r>
            <w:r>
              <w:rPr>
                <w:rFonts w:ascii="Times New Roman" w:hAnsi="Times New Roman"/>
                <w:noProof/>
                <w:sz w:val="24"/>
                <w:szCs w:val="24"/>
                <w:shd w:val="pct10" w:color="auto" w:fill="D9D9D9"/>
              </w:rPr>
              <w:t xml:space="preserve">.  </w:t>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Pr="008952C2" w:rsidRDefault="008952C2" w:rsidP="008952C2">
            <w:r>
              <w:rPr>
                <w:rFonts w:ascii="Times New Roman" w:hAnsi="Times New Roman"/>
                <w:sz w:val="24"/>
                <w:szCs w:val="24"/>
                <w:shd w:val="pct10" w:color="auto" w:fill="D9D9D9"/>
              </w:rPr>
              <w:t>Many of the goals of last year remain the same. These goals include finding new ways to incorporate interactive technology and active learning strategies into the classroom. Publishing companies are offering more ways than ever to bring virtual field trips and increasingly impressive animations into the classroom. The implementation of the revised GEOL 195 curriculum has helped with the repeatability and allowed the program to emphasize field work which has always been a struggle in previous years. Going forward</w:t>
            </w:r>
            <w:r w:rsidR="002E25E0">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the geology program wants to continue to get students involved with the practical and hands on aspect of geology</w:t>
            </w:r>
            <w:r w:rsidR="002E25E0">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including field work, using microscopes, and eventually rock cutting and thin section creation.</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F40EC5"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xml:space="preserve">.  Click on summary data profile on right side of page to search by occupation. (Check other reliable industry or government sources on Labor Market Data websites that support findings and are </w:t>
            </w:r>
            <w:r w:rsidRPr="00F44833">
              <w:rPr>
                <w:b/>
              </w:rPr>
              <w:lastRenderedPageBreak/>
              <w:t>relevant to Region Ten – San Diego/Imperial Counties. Include job projections and trends that may influence major curriculum revisions.)</w:t>
            </w:r>
          </w:p>
          <w:p w:rsidR="00F40EC5" w:rsidRPr="009D6DC9" w:rsidRDefault="00F40EC5" w:rsidP="00F40EC5">
            <w:pPr>
              <w:pStyle w:val="ListParagraph"/>
              <w:spacing w:after="0" w:line="240" w:lineRule="auto"/>
              <w:rPr>
                <w:b/>
                <w:u w:val="single"/>
              </w:rPr>
            </w:pPr>
          </w:p>
          <w:p w:rsidR="007B7A20" w:rsidRDefault="007B7A20" w:rsidP="007B7A20">
            <w:pPr>
              <w:spacing w:after="0"/>
              <w:rPr>
                <w:b/>
                <w:sz w:val="24"/>
                <w:szCs w:val="24"/>
                <w:shd w:val="pct10" w:color="auto" w:fill="D9D9D9"/>
              </w:rPr>
            </w:pPr>
            <w:r>
              <w:rPr>
                <w:rFonts w:ascii="Times New Roman" w:hAnsi="Times New Roman"/>
                <w:sz w:val="24"/>
                <w:szCs w:val="24"/>
                <w:shd w:val="pct10" w:color="auto" w:fill="D9D9D9"/>
              </w:rPr>
              <w:t>Statewide</w:t>
            </w:r>
            <w:r w:rsidR="0090576F">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including all areas</w:t>
            </w:r>
            <w:r w:rsidR="0090576F">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over 9,000 job openings are projected</w:t>
            </w:r>
            <w:r w:rsidRPr="003C4077">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Breaking those numbers down specifically</w:t>
            </w:r>
            <w:r w:rsidR="00F40EC5">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over 1,300 of those jobs are at entry level geoscience positions, 300 include geologic and petroleum engineering, 400 job</w:t>
            </w:r>
            <w:r w:rsidR="0090576F">
              <w:rPr>
                <w:rFonts w:ascii="Times New Roman" w:hAnsi="Times New Roman"/>
                <w:sz w:val="24"/>
                <w:szCs w:val="24"/>
                <w:shd w:val="pct10" w:color="auto" w:fill="D9D9D9"/>
              </w:rPr>
              <w:t>s</w:t>
            </w:r>
            <w:r>
              <w:rPr>
                <w:rFonts w:ascii="Times New Roman" w:hAnsi="Times New Roman"/>
                <w:sz w:val="24"/>
                <w:szCs w:val="24"/>
                <w:shd w:val="pct10" w:color="auto" w:fill="D9D9D9"/>
              </w:rPr>
              <w:t xml:space="preserve"> in the mining sector, and of course a large number of jobs in the rapid growing sector of oil and natural gas. At a more local level</w:t>
            </w:r>
            <w:r w:rsidR="0090576F">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around 200 entry level geology jobs are projected an increase from the 2014-2015 projection.</w:t>
            </w:r>
            <w:r w:rsidRPr="003C4077">
              <w:rPr>
                <w:rFonts w:ascii="Times New Roman" w:hAnsi="Times New Roman"/>
                <w:sz w:val="24"/>
                <w:szCs w:val="24"/>
                <w:shd w:val="pct10" w:color="auto" w:fill="D9D9D9"/>
              </w:rPr>
              <w:t xml:space="preserve"> Geologists with a Bachelor’s degree have a</w:t>
            </w:r>
            <w:r>
              <w:rPr>
                <w:rFonts w:ascii="Times New Roman" w:hAnsi="Times New Roman"/>
                <w:sz w:val="24"/>
                <w:szCs w:val="24"/>
                <w:shd w:val="pct10" w:color="auto" w:fill="D9D9D9"/>
              </w:rPr>
              <w:t>n</w:t>
            </w:r>
            <w:r w:rsidRPr="003C4077">
              <w:rPr>
                <w:rFonts w:ascii="Times New Roman" w:hAnsi="Times New Roman"/>
                <w:sz w:val="24"/>
                <w:szCs w:val="24"/>
                <w:shd w:val="pct10" w:color="auto" w:fill="D9D9D9"/>
              </w:rPr>
              <w:t xml:space="preserve"> annual salary</w:t>
            </w:r>
            <w:r>
              <w:rPr>
                <w:rFonts w:ascii="Times New Roman" w:hAnsi="Times New Roman"/>
                <w:sz w:val="24"/>
                <w:szCs w:val="24"/>
                <w:shd w:val="pct10" w:color="auto" w:fill="D9D9D9"/>
              </w:rPr>
              <w:t xml:space="preserve"> of around $50,000. As the drought continues</w:t>
            </w:r>
            <w:r w:rsidR="0090576F">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h</w:t>
            </w:r>
            <w:r w:rsidR="00F40EC5">
              <w:rPr>
                <w:rFonts w:ascii="Times New Roman" w:hAnsi="Times New Roman"/>
                <w:sz w:val="24"/>
                <w:szCs w:val="24"/>
                <w:shd w:val="pct10" w:color="auto" w:fill="D9D9D9"/>
              </w:rPr>
              <w:t>ydrology</w:t>
            </w:r>
            <w:r w:rsidRPr="003C4077">
              <w:rPr>
                <w:rFonts w:ascii="Times New Roman" w:hAnsi="Times New Roman"/>
                <w:sz w:val="24"/>
                <w:szCs w:val="24"/>
                <w:shd w:val="pct10" w:color="auto" w:fill="D9D9D9"/>
              </w:rPr>
              <w:t xml:space="preserve"> and environmental consultants are also a rapid growing area</w:t>
            </w:r>
            <w:r>
              <w:rPr>
                <w:rFonts w:ascii="Times New Roman" w:hAnsi="Times New Roman"/>
                <w:sz w:val="24"/>
                <w:szCs w:val="24"/>
                <w:shd w:val="pct10" w:color="auto" w:fill="D9D9D9"/>
              </w:rPr>
              <w:t>.</w:t>
            </w:r>
          </w:p>
          <w:p w:rsidR="00837687" w:rsidRDefault="00837687" w:rsidP="007B7A20">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005020" w:rsidRPr="00E214F5" w:rsidRDefault="00005020" w:rsidP="00005020">
            <w:pPr>
              <w:spacing w:after="0"/>
              <w:rPr>
                <w:rFonts w:asciiTheme="minorHAnsi" w:hAnsiTheme="minorHAnsi" w:cs="Arial"/>
                <w:b/>
              </w:rPr>
            </w:pPr>
            <w:r>
              <w:rPr>
                <w:rFonts w:ascii="Times New Roman" w:hAnsi="Times New Roman"/>
                <w:sz w:val="24"/>
                <w:szCs w:val="24"/>
                <w:shd w:val="pct10" w:color="auto" w:fill="D9D9D9"/>
              </w:rPr>
              <w:t>Goals 1 and 3 were initially met in the 2014-2015 academic year. They continued to be improved upon. The AS-T degree (goal 1) is launched</w:t>
            </w:r>
            <w:r w:rsidR="00F40EC5">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and the program still finds ways to integrate new ways and counseling techniques to make the transfer process as smooth as possible. Many of the SLO’s for the geology courses are being evaluated and updated as well to reflect the more modern version of the degree offerings at Palomar College. Goal 3</w:t>
            </w:r>
            <w:r w:rsidR="0090576F">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which dealt with the GEOL 195 Regional Field studies</w:t>
            </w:r>
            <w:r w:rsidR="0090576F">
              <w:rPr>
                <w:rFonts w:ascii="Times New Roman" w:hAnsi="Times New Roman"/>
                <w:sz w:val="24"/>
                <w:szCs w:val="24"/>
                <w:shd w:val="pct10" w:color="auto" w:fill="D9D9D9"/>
              </w:rPr>
              <w:t>,</w:t>
            </w:r>
            <w:r>
              <w:rPr>
                <w:rFonts w:ascii="Times New Roman" w:hAnsi="Times New Roman"/>
                <w:sz w:val="24"/>
                <w:szCs w:val="24"/>
                <w:shd w:val="pct10" w:color="auto" w:fill="D9D9D9"/>
              </w:rPr>
              <w:t xml:space="preserve"> has also been implemented. The course materials have been launched and the upcoming course</w:t>
            </w:r>
            <w:r w:rsidR="0090576F">
              <w:rPr>
                <w:rFonts w:ascii="Times New Roman" w:hAnsi="Times New Roman"/>
                <w:sz w:val="24"/>
                <w:szCs w:val="24"/>
                <w:shd w:val="pct10" w:color="auto" w:fill="D9D9D9"/>
              </w:rPr>
              <w:t>s</w:t>
            </w:r>
            <w:r>
              <w:rPr>
                <w:rFonts w:ascii="Times New Roman" w:hAnsi="Times New Roman"/>
                <w:sz w:val="24"/>
                <w:szCs w:val="24"/>
                <w:shd w:val="pct10" w:color="auto" w:fill="D9D9D9"/>
              </w:rPr>
              <w:t xml:space="preserve"> to be offered are in development. The incorporation of new technology and equipment into the classroom in continually ongoing. Obtaining the new trinocular polarizing microscope and camera attachment is a big step forward in this regard. This will allow the display of microscopic thin sections to </w:t>
            </w:r>
            <w:r>
              <w:rPr>
                <w:rFonts w:ascii="Times New Roman" w:hAnsi="Times New Roman"/>
                <w:sz w:val="24"/>
                <w:szCs w:val="24"/>
                <w:shd w:val="pct10" w:color="auto" w:fill="D9D9D9"/>
              </w:rPr>
              <w:lastRenderedPageBreak/>
              <w:t xml:space="preserve">the entire geology classroom. However, with the new laptops available to us from the previous year and access to new software hands on learning in the classroom could take major strides forward.  </w:t>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331C05">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6753EA"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6753EA"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74367F" w:rsidP="007436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Pr>
                <w:rFonts w:ascii="Arial" w:eastAsia="Times New Roman" w:hAnsi="Arial" w:cs="Arial"/>
                <w:b/>
                <w:noProof/>
                <w:sz w:val="16"/>
                <w:szCs w:val="16"/>
              </w:rPr>
              <w:t>Layered Earth Geology</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9C469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C976F3" w:rsidRPr="00174EF8" w:rsidRDefault="009C469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1.6,1.9</w:t>
            </w:r>
          </w:p>
        </w:tc>
        <w:tc>
          <w:tcPr>
            <w:tcW w:w="5400" w:type="dxa"/>
          </w:tcPr>
          <w:p w:rsidR="00C976F3" w:rsidRPr="00174EF8" w:rsidRDefault="009C469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Layered Earth Geology is interactive software with enhanced visualizations, animations, and computer simulations. This software will add another component to active learning through technology into the classroom."/>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Layered Earth Geology is interactive software with enhanced visualizations, animations, and computer simulations. This software will add another component to active learning through technology into the classroom.</w:t>
            </w:r>
            <w:r>
              <w:rPr>
                <w:rFonts w:ascii="Arial" w:eastAsia="Times New Roman" w:hAnsi="Arial" w:cs="Arial"/>
                <w:b/>
                <w:sz w:val="16"/>
                <w:szCs w:val="16"/>
              </w:rPr>
              <w:fldChar w:fldCharType="end"/>
            </w:r>
          </w:p>
        </w:tc>
        <w:tc>
          <w:tcPr>
            <w:tcW w:w="1440" w:type="dxa"/>
          </w:tcPr>
          <w:p w:rsidR="00C976F3" w:rsidRPr="00174EF8" w:rsidRDefault="001A66A3" w:rsidP="009C469E">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50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$500</w:t>
            </w:r>
            <w:r>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6753EA"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90576F" w:rsidRPr="00174EF8" w:rsidTr="009D6DC9">
        <w:tc>
          <w:tcPr>
            <w:tcW w:w="990" w:type="dxa"/>
          </w:tcPr>
          <w:p w:rsidR="0090576F" w:rsidRPr="00174EF8" w:rsidRDefault="0090576F" w:rsidP="0090576F">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Rock/ Mineral Samples"/>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Rock/ Mineral Samples</w:t>
            </w:r>
            <w:r>
              <w:rPr>
                <w:rFonts w:ascii="Arial" w:eastAsia="Times New Roman" w:hAnsi="Arial" w:cs="Arial"/>
                <w:b/>
                <w:sz w:val="16"/>
                <w:szCs w:val="16"/>
              </w:rPr>
              <w:fldChar w:fldCharType="end"/>
            </w:r>
          </w:p>
        </w:tc>
        <w:tc>
          <w:tcPr>
            <w:tcW w:w="99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1.9</w:t>
            </w:r>
          </w:p>
        </w:tc>
        <w:tc>
          <w:tcPr>
            <w:tcW w:w="5400" w:type="dxa"/>
          </w:tcPr>
          <w:p w:rsidR="0090576F" w:rsidRPr="00174EF8" w:rsidRDefault="0090576F" w:rsidP="0090576F">
            <w:pPr>
              <w:spacing w:after="0" w:line="240" w:lineRule="auto"/>
              <w:rPr>
                <w:rFonts w:ascii="Times New Roman" w:eastAsia="Times New Roman" w:hAnsi="Times New Roman"/>
                <w:sz w:val="24"/>
                <w:szCs w:val="24"/>
              </w:rPr>
            </w:pPr>
            <w:r w:rsidRPr="00FC3332">
              <w:rPr>
                <w:rFonts w:ascii="Arial" w:eastAsia="Times New Roman" w:hAnsi="Arial" w:cs="Arial"/>
                <w:b/>
                <w:noProof/>
                <w:sz w:val="16"/>
                <w:szCs w:val="16"/>
              </w:rPr>
              <w:t>Providing samples is an ongoing process. We are still in need of several samples that are essential for student learning and success. In geology lab  samples are required for demonstrative purposes (crystal habit, cleavage planes, ect…) and experimental purposes (student mineral testing) which wears rocks and minerals down to where they need to be replaced.</w:t>
            </w:r>
          </w:p>
        </w:tc>
        <w:tc>
          <w:tcPr>
            <w:tcW w:w="144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$300</w:t>
            </w:r>
          </w:p>
        </w:tc>
      </w:tr>
      <w:tr w:rsidR="0090576F" w:rsidRPr="00174EF8" w:rsidTr="009D6DC9">
        <w:tc>
          <w:tcPr>
            <w:tcW w:w="990" w:type="dxa"/>
          </w:tcPr>
          <w:p w:rsidR="0090576F" w:rsidRPr="00174EF8" w:rsidRDefault="0090576F" w:rsidP="0090576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Increase Printing Funds"/>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Increase Printing Funds</w:t>
            </w:r>
            <w:r>
              <w:rPr>
                <w:rFonts w:ascii="Arial" w:eastAsia="Times New Roman" w:hAnsi="Arial" w:cs="Arial"/>
                <w:b/>
                <w:sz w:val="16"/>
                <w:szCs w:val="16"/>
              </w:rPr>
              <w:fldChar w:fldCharType="end"/>
            </w:r>
          </w:p>
        </w:tc>
        <w:tc>
          <w:tcPr>
            <w:tcW w:w="99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162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1.9</w:t>
            </w:r>
          </w:p>
        </w:tc>
        <w:tc>
          <w:tcPr>
            <w:tcW w:w="5400" w:type="dxa"/>
          </w:tcPr>
          <w:p w:rsidR="0090576F" w:rsidRPr="00174EF8" w:rsidRDefault="0090576F" w:rsidP="0090576F">
            <w:pPr>
              <w:spacing w:after="0" w:line="240" w:lineRule="auto"/>
              <w:rPr>
                <w:rFonts w:ascii="Times New Roman" w:eastAsia="Times New Roman" w:hAnsi="Times New Roman"/>
                <w:sz w:val="24"/>
                <w:szCs w:val="24"/>
              </w:rPr>
            </w:pPr>
            <w:r w:rsidRPr="00716835">
              <w:rPr>
                <w:rFonts w:ascii="Arial" w:eastAsia="Times New Roman" w:hAnsi="Arial" w:cs="Arial"/>
                <w:b/>
                <w:noProof/>
                <w:sz w:val="16"/>
                <w:szCs w:val="16"/>
              </w:rPr>
              <w:t xml:space="preserve">Printing is essential for student involvement in lecture, lab, field trips, and field courses. Handouts for guided learning are used for each field trip and field course. These handouts help illustrate the complex geology process such as the stratigraphic formations, interaction of plate tectonics, mechanisms of faulting just to name </w:t>
            </w:r>
            <w:r w:rsidRPr="00716835">
              <w:rPr>
                <w:rFonts w:ascii="Arial" w:eastAsia="Times New Roman" w:hAnsi="Arial" w:cs="Arial"/>
                <w:b/>
                <w:noProof/>
                <w:sz w:val="16"/>
                <w:szCs w:val="16"/>
              </w:rPr>
              <w:lastRenderedPageBreak/>
              <w:t>a few. The upcoming field trips/courses will also require an increase in printing materials.</w:t>
            </w:r>
          </w:p>
        </w:tc>
        <w:tc>
          <w:tcPr>
            <w:tcW w:w="144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$500</w:t>
            </w:r>
          </w:p>
        </w:tc>
      </w:tr>
      <w:tr w:rsidR="0090576F" w:rsidRPr="00174EF8" w:rsidTr="009D6DC9">
        <w:tc>
          <w:tcPr>
            <w:tcW w:w="990" w:type="dxa"/>
          </w:tcPr>
          <w:p w:rsidR="0090576F" w:rsidRPr="00174EF8" w:rsidRDefault="0090576F" w:rsidP="0090576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c3.</w:t>
            </w:r>
            <w:r w:rsidRPr="00174EF8">
              <w:rPr>
                <w:rFonts w:ascii="Arial" w:eastAsia="Times New Roman" w:hAnsi="Arial" w:cs="Arial"/>
                <w:b/>
                <w:color w:val="000000"/>
                <w:sz w:val="16"/>
                <w:szCs w:val="16"/>
              </w:rPr>
              <w:t xml:space="preserve"> </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Maps and Poster Board"/>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Maps and Poster Board</w:t>
            </w:r>
            <w:r>
              <w:rPr>
                <w:rFonts w:ascii="Arial" w:eastAsia="Times New Roman" w:hAnsi="Arial" w:cs="Arial"/>
                <w:b/>
                <w:sz w:val="16"/>
                <w:szCs w:val="16"/>
              </w:rPr>
              <w:fldChar w:fldCharType="end"/>
            </w:r>
          </w:p>
        </w:tc>
        <w:tc>
          <w:tcPr>
            <w:tcW w:w="99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1.9</w:t>
            </w:r>
          </w:p>
        </w:tc>
        <w:tc>
          <w:tcPr>
            <w:tcW w:w="5400" w:type="dxa"/>
          </w:tcPr>
          <w:p w:rsidR="0090576F" w:rsidRPr="00174EF8" w:rsidRDefault="0090576F" w:rsidP="0090576F">
            <w:pPr>
              <w:spacing w:after="0" w:line="240" w:lineRule="auto"/>
              <w:rPr>
                <w:rFonts w:ascii="Times New Roman" w:eastAsia="Times New Roman" w:hAnsi="Times New Roman"/>
                <w:sz w:val="24"/>
                <w:szCs w:val="24"/>
              </w:rPr>
            </w:pPr>
            <w:r w:rsidRPr="00FC3332">
              <w:rPr>
                <w:rFonts w:ascii="Arial" w:eastAsia="Times New Roman" w:hAnsi="Arial" w:cs="Arial"/>
                <w:b/>
                <w:noProof/>
                <w:sz w:val="16"/>
                <w:szCs w:val="16"/>
              </w:rPr>
              <w:t>The upcoming geology field studies course GEOL 195: Geology of the Colorado Plateau will require several supplies. The course has not been run since 2006 and is need of updated figures and maps. These materials will allow instructors to have enlarged handouts to facilitate group lea</w:t>
            </w:r>
            <w:r>
              <w:rPr>
                <w:rFonts w:ascii="Arial" w:eastAsia="Times New Roman" w:hAnsi="Arial" w:cs="Arial"/>
                <w:b/>
                <w:noProof/>
                <w:sz w:val="16"/>
                <w:szCs w:val="16"/>
              </w:rPr>
              <w:t>rning and initiate discussions.</w:t>
            </w:r>
          </w:p>
        </w:tc>
        <w:tc>
          <w:tcPr>
            <w:tcW w:w="144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$240</w:t>
            </w:r>
          </w:p>
        </w:tc>
      </w:tr>
      <w:tr w:rsidR="0090576F" w:rsidRPr="00174EF8" w:rsidTr="009D6DC9">
        <w:tc>
          <w:tcPr>
            <w:tcW w:w="990" w:type="dxa"/>
          </w:tcPr>
          <w:p w:rsidR="0090576F" w:rsidRPr="00174EF8" w:rsidRDefault="0090576F" w:rsidP="0090576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Geologic Maps"/>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Geologic Maps</w:t>
            </w:r>
            <w:r>
              <w:rPr>
                <w:rFonts w:ascii="Arial" w:eastAsia="Times New Roman" w:hAnsi="Arial" w:cs="Arial"/>
                <w:b/>
                <w:sz w:val="16"/>
                <w:szCs w:val="16"/>
              </w:rPr>
              <w:fldChar w:fldCharType="end"/>
            </w:r>
          </w:p>
        </w:tc>
        <w:tc>
          <w:tcPr>
            <w:tcW w:w="99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3</w:t>
            </w:r>
          </w:p>
        </w:tc>
        <w:tc>
          <w:tcPr>
            <w:tcW w:w="162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1.9</w:t>
            </w:r>
          </w:p>
        </w:tc>
        <w:tc>
          <w:tcPr>
            <w:tcW w:w="5400" w:type="dxa"/>
          </w:tcPr>
          <w:p w:rsidR="0090576F" w:rsidRPr="00174EF8" w:rsidRDefault="0090576F" w:rsidP="0090576F">
            <w:pPr>
              <w:spacing w:after="0" w:line="240" w:lineRule="auto"/>
              <w:rPr>
                <w:rFonts w:ascii="Times New Roman" w:eastAsia="Times New Roman" w:hAnsi="Times New Roman"/>
                <w:sz w:val="24"/>
                <w:szCs w:val="24"/>
              </w:rPr>
            </w:pPr>
            <w:r w:rsidRPr="00FC3332">
              <w:rPr>
                <w:rFonts w:ascii="Arial" w:eastAsia="Times New Roman" w:hAnsi="Arial" w:cs="Arial"/>
                <w:b/>
                <w:noProof/>
                <w:sz w:val="16"/>
                <w:szCs w:val="16"/>
              </w:rPr>
              <w:t>The upcoming geology field studies course GEOL 195: Geology of the Colorado Plateau will require several supplies. The course has not been run since 2006 and is need of updated figures and maps. Acquiring updated and new geologic maps will be essential for instructor and student learning.</w:t>
            </w:r>
          </w:p>
        </w:tc>
        <w:tc>
          <w:tcPr>
            <w:tcW w:w="144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$160</w:t>
            </w:r>
          </w:p>
        </w:tc>
      </w:tr>
      <w:tr w:rsidR="0090576F" w:rsidRPr="00174EF8" w:rsidTr="009D6DC9">
        <w:tc>
          <w:tcPr>
            <w:tcW w:w="990" w:type="dxa"/>
          </w:tcPr>
          <w:p w:rsidR="0090576F" w:rsidRPr="00174EF8" w:rsidRDefault="0090576F" w:rsidP="0090576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90576F" w:rsidRPr="00174EF8" w:rsidRDefault="0090576F" w:rsidP="0090576F">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90576F" w:rsidRPr="00174EF8" w:rsidRDefault="0090576F" w:rsidP="009057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90576F" w:rsidRPr="00174EF8" w:rsidRDefault="0090576F" w:rsidP="009057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90576F" w:rsidRPr="00174EF8" w:rsidRDefault="0090576F" w:rsidP="009057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90576F" w:rsidRPr="00174EF8" w:rsidRDefault="0090576F" w:rsidP="009057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6753EA"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6753EA"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6753EA"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6753EA"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9C469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Maps and Poster Board"/>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Maps and Poster Board</w:t>
            </w:r>
            <w:r>
              <w:rPr>
                <w:rFonts w:ascii="Arial" w:eastAsia="Times New Roman" w:hAnsi="Arial" w:cs="Arial"/>
                <w:b/>
                <w:sz w:val="16"/>
                <w:szCs w:val="16"/>
              </w:rPr>
              <w:fldChar w:fldCharType="end"/>
            </w:r>
          </w:p>
        </w:tc>
        <w:tc>
          <w:tcPr>
            <w:tcW w:w="990" w:type="dxa"/>
          </w:tcPr>
          <w:p w:rsidR="00F80C11" w:rsidRPr="00DA5F51" w:rsidRDefault="009C469E"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F80C11" w:rsidRPr="00174EF8" w:rsidRDefault="00F80C11" w:rsidP="009C469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009C469E">
              <w:rPr>
                <w:rFonts w:ascii="Arial" w:eastAsia="Times New Roman" w:hAnsi="Arial" w:cs="Arial"/>
                <w:b/>
                <w:noProof/>
                <w:sz w:val="16"/>
                <w:szCs w:val="16"/>
              </w:rPr>
              <w:t>3</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77B2A"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1.9"/>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1.9</w:t>
            </w:r>
            <w:r>
              <w:rPr>
                <w:rFonts w:ascii="Arial" w:eastAsia="Times New Roman" w:hAnsi="Arial" w:cs="Arial"/>
                <w:b/>
                <w:sz w:val="16"/>
                <w:szCs w:val="16"/>
              </w:rPr>
              <w:fldChar w:fldCharType="end"/>
            </w:r>
          </w:p>
        </w:tc>
        <w:tc>
          <w:tcPr>
            <w:tcW w:w="5400" w:type="dxa"/>
          </w:tcPr>
          <w:p w:rsidR="00F80C11" w:rsidRPr="00174EF8" w:rsidRDefault="00D008E1" w:rsidP="00F03DE9">
            <w:pPr>
              <w:spacing w:after="0" w:line="240" w:lineRule="auto"/>
              <w:rPr>
                <w:rFonts w:ascii="Times New Roman" w:eastAsia="Times New Roman" w:hAnsi="Times New Roman"/>
                <w:sz w:val="24"/>
                <w:szCs w:val="24"/>
              </w:rPr>
            </w:pPr>
            <w:r w:rsidRPr="00FC3332">
              <w:rPr>
                <w:rFonts w:ascii="Arial" w:eastAsia="Times New Roman" w:hAnsi="Arial" w:cs="Arial"/>
                <w:b/>
                <w:noProof/>
                <w:sz w:val="16"/>
                <w:szCs w:val="16"/>
              </w:rPr>
              <w:t>The upcoming geology field studies course GEOL 195: Geology of the Colorado Plateau will require several supplies. The course has not been run since 2006 and is need of updated figures and maps. These materials will allow instructors to have enlarged handouts to facilitate group lea</w:t>
            </w:r>
            <w:r>
              <w:rPr>
                <w:rFonts w:ascii="Arial" w:eastAsia="Times New Roman" w:hAnsi="Arial" w:cs="Arial"/>
                <w:b/>
                <w:noProof/>
                <w:sz w:val="16"/>
                <w:szCs w:val="16"/>
              </w:rPr>
              <w:t>rning and initiate discussions.</w:t>
            </w:r>
          </w:p>
        </w:tc>
        <w:tc>
          <w:tcPr>
            <w:tcW w:w="1440" w:type="dxa"/>
          </w:tcPr>
          <w:p w:rsidR="00F80C11" w:rsidRPr="00174EF8" w:rsidRDefault="002E047F"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$240</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9C469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Geologic Maps"/>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Geologic Maps</w:t>
            </w:r>
            <w:r>
              <w:rPr>
                <w:rFonts w:ascii="Arial" w:eastAsia="Times New Roman" w:hAnsi="Arial" w:cs="Arial"/>
                <w:b/>
                <w:sz w:val="16"/>
                <w:szCs w:val="16"/>
              </w:rPr>
              <w:fldChar w:fldCharType="end"/>
            </w:r>
          </w:p>
        </w:tc>
        <w:tc>
          <w:tcPr>
            <w:tcW w:w="990" w:type="dxa"/>
          </w:tcPr>
          <w:p w:rsidR="00F80C11" w:rsidRPr="00DA5F51" w:rsidRDefault="009C469E"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009C469E">
              <w:rPr>
                <w:rFonts w:ascii="Arial" w:eastAsia="Times New Roman" w:hAnsi="Arial" w:cs="Arial"/>
                <w:b/>
                <w:noProof/>
                <w:sz w:val="16"/>
                <w:szCs w:val="16"/>
              </w:rPr>
              <w:t>3</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77B2A"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1.9"/>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1.9</w:t>
            </w:r>
            <w:r>
              <w:rPr>
                <w:rFonts w:ascii="Arial" w:eastAsia="Times New Roman" w:hAnsi="Arial" w:cs="Arial"/>
                <w:b/>
                <w:sz w:val="16"/>
                <w:szCs w:val="16"/>
              </w:rPr>
              <w:fldChar w:fldCharType="end"/>
            </w:r>
          </w:p>
        </w:tc>
        <w:tc>
          <w:tcPr>
            <w:tcW w:w="5400" w:type="dxa"/>
          </w:tcPr>
          <w:p w:rsidR="00F80C11" w:rsidRPr="00174EF8" w:rsidRDefault="00D008E1" w:rsidP="00F03DE9">
            <w:pPr>
              <w:spacing w:after="0" w:line="240" w:lineRule="auto"/>
              <w:rPr>
                <w:rFonts w:ascii="Times New Roman" w:eastAsia="Times New Roman" w:hAnsi="Times New Roman"/>
                <w:sz w:val="24"/>
                <w:szCs w:val="24"/>
              </w:rPr>
            </w:pPr>
            <w:r w:rsidRPr="00FC3332">
              <w:rPr>
                <w:rFonts w:ascii="Arial" w:eastAsia="Times New Roman" w:hAnsi="Arial" w:cs="Arial"/>
                <w:b/>
                <w:noProof/>
                <w:sz w:val="16"/>
                <w:szCs w:val="16"/>
              </w:rPr>
              <w:t>The upcoming geology field studies course GEOL 195: Geology of the Colorado Plateau will require several supplies. The course has not been run since 2006 and is need of updated figures and maps. Acquiring updated and new geologic maps will be essential for instructor and student learning.</w:t>
            </w:r>
          </w:p>
        </w:tc>
        <w:tc>
          <w:tcPr>
            <w:tcW w:w="1440" w:type="dxa"/>
          </w:tcPr>
          <w:p w:rsidR="00F80C11" w:rsidRPr="00174EF8" w:rsidRDefault="002E047F"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$160</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9C469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Layered Earth Geology"/>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Layered Earth Geology</w:t>
            </w:r>
            <w:r>
              <w:rPr>
                <w:rFonts w:ascii="Arial" w:eastAsia="Times New Roman" w:hAnsi="Arial" w:cs="Arial"/>
                <w:b/>
                <w:sz w:val="16"/>
                <w:szCs w:val="16"/>
              </w:rPr>
              <w:fldChar w:fldCharType="end"/>
            </w:r>
          </w:p>
        </w:tc>
        <w:tc>
          <w:tcPr>
            <w:tcW w:w="990" w:type="dxa"/>
          </w:tcPr>
          <w:p w:rsidR="00F80C11" w:rsidRPr="00DA5F51" w:rsidRDefault="009C469E"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F80C11" w:rsidRPr="00174EF8" w:rsidRDefault="00F80C11" w:rsidP="009C469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009C469E">
              <w:rPr>
                <w:rFonts w:ascii="Arial" w:eastAsia="Times New Roman" w:hAnsi="Arial" w:cs="Arial"/>
                <w:b/>
                <w:noProof/>
                <w:sz w:val="16"/>
                <w:szCs w:val="16"/>
              </w:rPr>
              <w:t>1,2</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008E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1.6,1.9"/>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1.6,1.9</w:t>
            </w:r>
            <w:r>
              <w:rPr>
                <w:rFonts w:ascii="Arial" w:eastAsia="Times New Roman" w:hAnsi="Arial" w:cs="Arial"/>
                <w:b/>
                <w:sz w:val="16"/>
                <w:szCs w:val="16"/>
              </w:rPr>
              <w:fldChar w:fldCharType="end"/>
            </w:r>
          </w:p>
        </w:tc>
        <w:tc>
          <w:tcPr>
            <w:tcW w:w="5400" w:type="dxa"/>
          </w:tcPr>
          <w:p w:rsidR="00F80C11" w:rsidRPr="00174EF8" w:rsidRDefault="00D008E1" w:rsidP="00D008E1">
            <w:pPr>
              <w:tabs>
                <w:tab w:val="left" w:pos="1590"/>
              </w:tabs>
              <w:spacing w:after="0" w:line="240" w:lineRule="auto"/>
              <w:rPr>
                <w:rFonts w:ascii="Times New Roman" w:eastAsia="Times New Roman" w:hAnsi="Times New Roman"/>
                <w:sz w:val="24"/>
                <w:szCs w:val="24"/>
              </w:rPr>
            </w:pPr>
            <w:r w:rsidRPr="00FC3332">
              <w:rPr>
                <w:rFonts w:ascii="Arial" w:eastAsia="Times New Roman" w:hAnsi="Arial" w:cs="Arial"/>
                <w:b/>
                <w:noProof/>
                <w:sz w:val="16"/>
                <w:szCs w:val="16"/>
              </w:rPr>
              <w:t>Layered Earth Geology is interactive software with enhanced visualizations, animations, and computer simulations. This software will add another component to active learning through technology into the classroom</w:t>
            </w:r>
            <w:r>
              <w:rPr>
                <w:rFonts w:ascii="Arial" w:eastAsia="Times New Roman" w:hAnsi="Arial" w:cs="Arial"/>
                <w:b/>
                <w:noProof/>
                <w:sz w:val="16"/>
                <w:szCs w:val="16"/>
              </w:rPr>
              <w:t>.</w:t>
            </w:r>
          </w:p>
        </w:tc>
        <w:tc>
          <w:tcPr>
            <w:tcW w:w="1440" w:type="dxa"/>
          </w:tcPr>
          <w:p w:rsidR="00F80C11" w:rsidRPr="00174EF8" w:rsidRDefault="001D1BF5"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$500</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9C469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Rock/ Mineral Samples"/>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Rock/ Mineral Samples</w:t>
            </w:r>
            <w:r>
              <w:rPr>
                <w:rFonts w:ascii="Arial" w:eastAsia="Times New Roman" w:hAnsi="Arial" w:cs="Arial"/>
                <w:b/>
                <w:sz w:val="16"/>
                <w:szCs w:val="16"/>
              </w:rPr>
              <w:fldChar w:fldCharType="end"/>
            </w:r>
          </w:p>
        </w:tc>
        <w:tc>
          <w:tcPr>
            <w:tcW w:w="990" w:type="dxa"/>
          </w:tcPr>
          <w:p w:rsidR="00F80C11" w:rsidRPr="00DA5F51" w:rsidRDefault="009C469E"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F80C11" w:rsidRPr="00174EF8" w:rsidRDefault="00F80C11" w:rsidP="009C469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009C469E">
              <w:rPr>
                <w:rFonts w:ascii="Arial" w:eastAsia="Times New Roman" w:hAnsi="Arial" w:cs="Arial"/>
                <w:b/>
                <w:noProof/>
                <w:sz w:val="16"/>
                <w:szCs w:val="16"/>
              </w:rPr>
              <w:t>1,2</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008E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1.9"/>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1.9</w:t>
            </w:r>
            <w:r>
              <w:rPr>
                <w:rFonts w:ascii="Arial" w:eastAsia="Times New Roman" w:hAnsi="Arial" w:cs="Arial"/>
                <w:b/>
                <w:sz w:val="16"/>
                <w:szCs w:val="16"/>
              </w:rPr>
              <w:fldChar w:fldCharType="end"/>
            </w:r>
          </w:p>
        </w:tc>
        <w:tc>
          <w:tcPr>
            <w:tcW w:w="5400" w:type="dxa"/>
          </w:tcPr>
          <w:p w:rsidR="00F80C11" w:rsidRPr="00174EF8" w:rsidRDefault="00D008E1" w:rsidP="00F03DE9">
            <w:pPr>
              <w:spacing w:after="0" w:line="240" w:lineRule="auto"/>
              <w:rPr>
                <w:rFonts w:ascii="Times New Roman" w:eastAsia="Times New Roman" w:hAnsi="Times New Roman"/>
                <w:sz w:val="24"/>
                <w:szCs w:val="24"/>
              </w:rPr>
            </w:pPr>
            <w:r w:rsidRPr="00FC3332">
              <w:rPr>
                <w:rFonts w:ascii="Arial" w:eastAsia="Times New Roman" w:hAnsi="Arial" w:cs="Arial"/>
                <w:b/>
                <w:noProof/>
                <w:sz w:val="16"/>
                <w:szCs w:val="16"/>
              </w:rPr>
              <w:t>Providing samples is an ongoing process. We are still in need of several samples that are essential for student learning and success. In geology lab  samples are required for demonstrative purposes (crystal habit, cleavage planes, ect…) and experimental purposes (student mineral testing) which wears rocks and minerals down to where they need to be replaced.</w:t>
            </w:r>
          </w:p>
        </w:tc>
        <w:tc>
          <w:tcPr>
            <w:tcW w:w="1440" w:type="dxa"/>
          </w:tcPr>
          <w:p w:rsidR="00F80C11" w:rsidRPr="00174EF8" w:rsidRDefault="002E047F"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$300</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9C469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Increase Printing Funds"/>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Increase Printing Funds</w:t>
            </w:r>
            <w:r>
              <w:rPr>
                <w:rFonts w:ascii="Arial" w:eastAsia="Times New Roman" w:hAnsi="Arial" w:cs="Arial"/>
                <w:b/>
                <w:sz w:val="16"/>
                <w:szCs w:val="16"/>
              </w:rPr>
              <w:fldChar w:fldCharType="end"/>
            </w:r>
          </w:p>
        </w:tc>
        <w:tc>
          <w:tcPr>
            <w:tcW w:w="990" w:type="dxa"/>
          </w:tcPr>
          <w:p w:rsidR="00F80C11" w:rsidRPr="00DA5F51" w:rsidRDefault="009C469E"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F80C11" w:rsidRPr="00174EF8" w:rsidRDefault="00F80C11" w:rsidP="009C469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009C469E">
              <w:rPr>
                <w:rFonts w:ascii="Arial" w:eastAsia="Times New Roman" w:hAnsi="Arial" w:cs="Arial"/>
                <w:b/>
                <w:noProof/>
                <w:sz w:val="16"/>
                <w:szCs w:val="16"/>
              </w:rPr>
              <w:t>3</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008E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default w:val="1.4"/>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1.4</w:t>
            </w:r>
            <w:r>
              <w:rPr>
                <w:rFonts w:ascii="Arial" w:eastAsia="Times New Roman" w:hAnsi="Arial" w:cs="Arial"/>
                <w:b/>
                <w:sz w:val="16"/>
                <w:szCs w:val="16"/>
              </w:rPr>
              <w:fldChar w:fldCharType="end"/>
            </w:r>
          </w:p>
        </w:tc>
        <w:tc>
          <w:tcPr>
            <w:tcW w:w="5400" w:type="dxa"/>
          </w:tcPr>
          <w:p w:rsidR="00F80C11" w:rsidRPr="00174EF8" w:rsidRDefault="00D008E1" w:rsidP="00F03DE9">
            <w:pPr>
              <w:spacing w:after="0" w:line="240" w:lineRule="auto"/>
              <w:rPr>
                <w:rFonts w:ascii="Times New Roman" w:eastAsia="Times New Roman" w:hAnsi="Times New Roman"/>
                <w:sz w:val="24"/>
                <w:szCs w:val="24"/>
              </w:rPr>
            </w:pPr>
            <w:r w:rsidRPr="00716835">
              <w:rPr>
                <w:rFonts w:ascii="Arial" w:eastAsia="Times New Roman" w:hAnsi="Arial" w:cs="Arial"/>
                <w:b/>
                <w:noProof/>
                <w:sz w:val="16"/>
                <w:szCs w:val="16"/>
              </w:rPr>
              <w:t>Printing is essential for student involvement in lecture, lab, field trips, and field courses. Handouts for guided learning are used for each field trip and field course. These handouts help illustrate the complex geology process such as the stratigraphic formations, interaction of plate tectonics, mechanisms of faulting just to name a few. The upcoming field trips/courses will also require an increase in printing materials.</w:t>
            </w:r>
          </w:p>
        </w:tc>
        <w:tc>
          <w:tcPr>
            <w:tcW w:w="1440" w:type="dxa"/>
          </w:tcPr>
          <w:p w:rsidR="00F80C11" w:rsidRPr="00174EF8" w:rsidRDefault="002E047F"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$500</w:t>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p>
        </w:tc>
        <w:tc>
          <w:tcPr>
            <w:tcW w:w="1350" w:type="dxa"/>
          </w:tcPr>
          <w:p w:rsidR="00F80C11" w:rsidRPr="00174EF8" w:rsidRDefault="00F80C11" w:rsidP="009C469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00377B2A">
              <w:rPr>
                <w:rFonts w:ascii="Arial" w:eastAsia="Times New Roman" w:hAnsi="Arial" w:cs="Arial"/>
                <w:b/>
                <w:noProof/>
                <w:sz w:val="16"/>
                <w:szCs w:val="16"/>
              </w:rPr>
              <w:t xml:space="preserve">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6753EA"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EA" w:rsidRDefault="006753EA" w:rsidP="002C5830">
      <w:pPr>
        <w:spacing w:after="0" w:line="240" w:lineRule="auto"/>
      </w:pPr>
      <w:r>
        <w:separator/>
      </w:r>
    </w:p>
  </w:endnote>
  <w:endnote w:type="continuationSeparator" w:id="0">
    <w:p w:rsidR="006753EA" w:rsidRDefault="006753EA"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9E" w:rsidRDefault="009C469E"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9C469E" w:rsidRDefault="009C469E"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9C469E" w:rsidRPr="00B61D65" w:rsidRDefault="009C469E"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9C469E" w:rsidRPr="0028450D" w:rsidRDefault="009C469E"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DA3EF6" w:rsidRPr="00DA3EF6">
      <w:rPr>
        <w:rFonts w:ascii="Cambria" w:hAnsi="Cambria"/>
        <w:noProof/>
        <w:sz w:val="20"/>
        <w:szCs w:val="20"/>
      </w:rPr>
      <w:t>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EA" w:rsidRDefault="006753EA" w:rsidP="002C5830">
      <w:pPr>
        <w:spacing w:after="0" w:line="240" w:lineRule="auto"/>
      </w:pPr>
      <w:r>
        <w:separator/>
      </w:r>
    </w:p>
  </w:footnote>
  <w:footnote w:type="continuationSeparator" w:id="0">
    <w:p w:rsidR="006753EA" w:rsidRDefault="006753EA"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9E" w:rsidRPr="00F61877" w:rsidRDefault="009C469E" w:rsidP="00611FB1">
    <w:pPr>
      <w:spacing w:after="0" w:line="240" w:lineRule="auto"/>
      <w:ind w:left="-180" w:right="-90"/>
      <w:jc w:val="center"/>
      <w:rPr>
        <w:b/>
        <w:sz w:val="28"/>
        <w:szCs w:val="28"/>
        <w:u w:val="single"/>
      </w:rPr>
    </w:pPr>
    <w:r>
      <w:rPr>
        <w:b/>
        <w:sz w:val="28"/>
        <w:szCs w:val="28"/>
      </w:rPr>
      <w:t xml:space="preserve">                                                                              </w:t>
    </w:r>
  </w:p>
  <w:p w:rsidR="009C469E" w:rsidRPr="009423EC" w:rsidRDefault="009C469E"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05020"/>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237E"/>
    <w:rsid w:val="000C35C8"/>
    <w:rsid w:val="000C543A"/>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4A1B"/>
    <w:rsid w:val="001A5B52"/>
    <w:rsid w:val="001A66A3"/>
    <w:rsid w:val="001B0F65"/>
    <w:rsid w:val="001C1471"/>
    <w:rsid w:val="001C52BF"/>
    <w:rsid w:val="001C6C0B"/>
    <w:rsid w:val="001C6FEE"/>
    <w:rsid w:val="001D1BF5"/>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7708C"/>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047F"/>
    <w:rsid w:val="002E25E0"/>
    <w:rsid w:val="002E3A76"/>
    <w:rsid w:val="002E4C68"/>
    <w:rsid w:val="002F31F9"/>
    <w:rsid w:val="002F3BA9"/>
    <w:rsid w:val="002F7F73"/>
    <w:rsid w:val="00303364"/>
    <w:rsid w:val="00311263"/>
    <w:rsid w:val="00327359"/>
    <w:rsid w:val="00331C05"/>
    <w:rsid w:val="003324E1"/>
    <w:rsid w:val="00333539"/>
    <w:rsid w:val="0033577C"/>
    <w:rsid w:val="00343B44"/>
    <w:rsid w:val="00343DA5"/>
    <w:rsid w:val="00357B6E"/>
    <w:rsid w:val="00361642"/>
    <w:rsid w:val="00363511"/>
    <w:rsid w:val="0037266E"/>
    <w:rsid w:val="003762AB"/>
    <w:rsid w:val="00377B2A"/>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04DC"/>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B2C"/>
    <w:rsid w:val="00611FB1"/>
    <w:rsid w:val="006172C9"/>
    <w:rsid w:val="00624F43"/>
    <w:rsid w:val="0062567B"/>
    <w:rsid w:val="00626BFA"/>
    <w:rsid w:val="00630DDD"/>
    <w:rsid w:val="00631044"/>
    <w:rsid w:val="00631DF9"/>
    <w:rsid w:val="00633C87"/>
    <w:rsid w:val="00634237"/>
    <w:rsid w:val="00640AB5"/>
    <w:rsid w:val="006413D5"/>
    <w:rsid w:val="00645873"/>
    <w:rsid w:val="006500FE"/>
    <w:rsid w:val="00662183"/>
    <w:rsid w:val="0066341F"/>
    <w:rsid w:val="006720E1"/>
    <w:rsid w:val="006753EA"/>
    <w:rsid w:val="00682DD4"/>
    <w:rsid w:val="00686C02"/>
    <w:rsid w:val="006954A6"/>
    <w:rsid w:val="00697BD6"/>
    <w:rsid w:val="006A0202"/>
    <w:rsid w:val="006A251A"/>
    <w:rsid w:val="006B2556"/>
    <w:rsid w:val="006B343E"/>
    <w:rsid w:val="006B3D8E"/>
    <w:rsid w:val="006B6219"/>
    <w:rsid w:val="006C7493"/>
    <w:rsid w:val="006D5CE8"/>
    <w:rsid w:val="006E165C"/>
    <w:rsid w:val="006E5143"/>
    <w:rsid w:val="006F281B"/>
    <w:rsid w:val="00700E7C"/>
    <w:rsid w:val="007032A0"/>
    <w:rsid w:val="00704131"/>
    <w:rsid w:val="00714F5B"/>
    <w:rsid w:val="00722002"/>
    <w:rsid w:val="00726131"/>
    <w:rsid w:val="0073127D"/>
    <w:rsid w:val="00740F21"/>
    <w:rsid w:val="0074367F"/>
    <w:rsid w:val="00752192"/>
    <w:rsid w:val="00753D98"/>
    <w:rsid w:val="0075666D"/>
    <w:rsid w:val="007605EA"/>
    <w:rsid w:val="00761D23"/>
    <w:rsid w:val="0076419A"/>
    <w:rsid w:val="007709D3"/>
    <w:rsid w:val="007721D8"/>
    <w:rsid w:val="007879F6"/>
    <w:rsid w:val="007A64C5"/>
    <w:rsid w:val="007A7386"/>
    <w:rsid w:val="007B64F6"/>
    <w:rsid w:val="007B7A20"/>
    <w:rsid w:val="007C613D"/>
    <w:rsid w:val="007D0DBC"/>
    <w:rsid w:val="007D4EA8"/>
    <w:rsid w:val="007D57D9"/>
    <w:rsid w:val="007D7837"/>
    <w:rsid w:val="007D7938"/>
    <w:rsid w:val="007D7989"/>
    <w:rsid w:val="007E033A"/>
    <w:rsid w:val="007E034E"/>
    <w:rsid w:val="007F2A67"/>
    <w:rsid w:val="007F3462"/>
    <w:rsid w:val="007F6089"/>
    <w:rsid w:val="008021F1"/>
    <w:rsid w:val="008205F4"/>
    <w:rsid w:val="00822427"/>
    <w:rsid w:val="008235FC"/>
    <w:rsid w:val="00837687"/>
    <w:rsid w:val="00837E7C"/>
    <w:rsid w:val="008404E6"/>
    <w:rsid w:val="0084288E"/>
    <w:rsid w:val="00844056"/>
    <w:rsid w:val="00844883"/>
    <w:rsid w:val="00845862"/>
    <w:rsid w:val="00850AF2"/>
    <w:rsid w:val="00853D36"/>
    <w:rsid w:val="0085442C"/>
    <w:rsid w:val="00854BC7"/>
    <w:rsid w:val="008605DA"/>
    <w:rsid w:val="00863044"/>
    <w:rsid w:val="0086446F"/>
    <w:rsid w:val="00865120"/>
    <w:rsid w:val="00870773"/>
    <w:rsid w:val="008748FE"/>
    <w:rsid w:val="00890C10"/>
    <w:rsid w:val="00890DB2"/>
    <w:rsid w:val="008952C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8F6F01"/>
    <w:rsid w:val="009011A0"/>
    <w:rsid w:val="009015F1"/>
    <w:rsid w:val="0090160F"/>
    <w:rsid w:val="009025B1"/>
    <w:rsid w:val="0090576F"/>
    <w:rsid w:val="00910CB8"/>
    <w:rsid w:val="00911E1B"/>
    <w:rsid w:val="00911FD0"/>
    <w:rsid w:val="00917192"/>
    <w:rsid w:val="0092097F"/>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C469E"/>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03E3"/>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2B6"/>
    <w:rsid w:val="00BA7AF8"/>
    <w:rsid w:val="00BA7D1A"/>
    <w:rsid w:val="00BB0949"/>
    <w:rsid w:val="00BB3DDB"/>
    <w:rsid w:val="00BC2465"/>
    <w:rsid w:val="00BC34DC"/>
    <w:rsid w:val="00BC4C52"/>
    <w:rsid w:val="00BC501A"/>
    <w:rsid w:val="00BE0D51"/>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08E1"/>
    <w:rsid w:val="00D04A7D"/>
    <w:rsid w:val="00D0617C"/>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3EF6"/>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EF799D"/>
    <w:rsid w:val="00F00030"/>
    <w:rsid w:val="00F00C5C"/>
    <w:rsid w:val="00F00CBF"/>
    <w:rsid w:val="00F00CCE"/>
    <w:rsid w:val="00F03DE9"/>
    <w:rsid w:val="00F06AA5"/>
    <w:rsid w:val="00F170AF"/>
    <w:rsid w:val="00F17A92"/>
    <w:rsid w:val="00F2664E"/>
    <w:rsid w:val="00F353E4"/>
    <w:rsid w:val="00F3657F"/>
    <w:rsid w:val="00F40EC5"/>
    <w:rsid w:val="00F44833"/>
    <w:rsid w:val="00F45785"/>
    <w:rsid w:val="00F61877"/>
    <w:rsid w:val="00F64769"/>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64C"/>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4C391A3-7909-45DC-BFB3-7AAC2572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7350823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6047AC-20B2-47DB-89F2-DC60E617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4513</Words>
  <Characters>25728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30181</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2016-01-07T20:59:00Z</dcterms:created>
  <dcterms:modified xsi:type="dcterms:W3CDTF">2016-01-07T20:59:00Z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