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FFB2" w14:textId="717582BF" w:rsidR="00214F13" w:rsidRPr="00D86124" w:rsidRDefault="00361D69" w:rsidP="00361D69">
      <w:pPr>
        <w:pStyle w:val="Title"/>
        <w:ind w:left="0"/>
        <w:jc w:val="center"/>
        <w:rPr>
          <w:rFonts w:ascii="Gill Sans MT" w:hAnsi="Gill Sans MT"/>
          <w:sz w:val="36"/>
          <w:szCs w:val="36"/>
          <w:u w:val="none" w:color="C0504D"/>
        </w:rPr>
      </w:pPr>
      <w:r w:rsidRPr="006107B6">
        <w:rPr>
          <w:b w:val="0"/>
          <w:bCs w:val="0"/>
          <w:noProof/>
          <w:u w:val="none"/>
        </w:rPr>
        <w:drawing>
          <wp:anchor distT="0" distB="0" distL="114300" distR="114300" simplePos="0" relativeHeight="487590912" behindDoc="0" locked="0" layoutInCell="1" allowOverlap="1" wp14:anchorId="1EB87C46" wp14:editId="4761EC54">
            <wp:simplePos x="0" y="0"/>
            <wp:positionH relativeFrom="margin">
              <wp:posOffset>114300</wp:posOffset>
            </wp:positionH>
            <wp:positionV relativeFrom="paragraph">
              <wp:posOffset>-60960</wp:posOffset>
            </wp:positionV>
            <wp:extent cx="784860" cy="457835"/>
            <wp:effectExtent l="0" t="0" r="0" b="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486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5CB" w:rsidRPr="00D86124">
        <w:rPr>
          <w:rFonts w:ascii="Gill Sans MT" w:hAnsi="Gill Sans MT"/>
          <w:sz w:val="36"/>
          <w:szCs w:val="36"/>
          <w:u w:val="none" w:color="C0504D"/>
        </w:rPr>
        <w:t>FISCAL YEAR 2022-2023 CLOSING SCHEDULE</w:t>
      </w:r>
      <w:r>
        <w:rPr>
          <w:rFonts w:ascii="Gill Sans MT" w:hAnsi="Gill Sans MT"/>
          <w:sz w:val="36"/>
          <w:szCs w:val="36"/>
          <w:u w:val="none" w:color="C0504D"/>
        </w:rPr>
        <w:t xml:space="preserve"> </w:t>
      </w:r>
      <w:r w:rsidRPr="00361D69">
        <w:rPr>
          <w:rFonts w:ascii="Gill Sans MT" w:hAnsi="Gill Sans MT"/>
          <w:smallCaps/>
          <w:sz w:val="36"/>
          <w:szCs w:val="36"/>
          <w:u w:val="none" w:color="C0504D"/>
        </w:rPr>
        <w:t>and</w:t>
      </w:r>
      <w:r>
        <w:rPr>
          <w:rFonts w:ascii="Gill Sans MT" w:hAnsi="Gill Sans MT"/>
          <w:sz w:val="36"/>
          <w:szCs w:val="36"/>
          <w:u w:val="none" w:color="C0504D"/>
        </w:rPr>
        <w:t xml:space="preserve"> DEADLINES</w:t>
      </w:r>
    </w:p>
    <w:p w14:paraId="70EE477F" w14:textId="77777777" w:rsidR="00C365CB" w:rsidRPr="0051421B" w:rsidRDefault="00C365CB">
      <w:pPr>
        <w:pStyle w:val="Title"/>
        <w:rPr>
          <w:rFonts w:ascii="Gill Sans MT" w:hAnsi="Gill Sans MT"/>
          <w:b w:val="0"/>
          <w:bCs w:val="0"/>
          <w:sz w:val="20"/>
          <w:szCs w:val="20"/>
          <w:u w:val="none" w:color="C0504D"/>
        </w:rPr>
      </w:pPr>
    </w:p>
    <w:p w14:paraId="658368D0" w14:textId="27BF8B18" w:rsidR="00EA415B" w:rsidRPr="00D94731" w:rsidRDefault="00EA415B" w:rsidP="00295F24">
      <w:pPr>
        <w:pStyle w:val="Title"/>
        <w:pBdr>
          <w:top w:val="single" w:sz="4" w:space="1" w:color="auto"/>
          <w:bottom w:val="single" w:sz="4" w:space="1" w:color="auto"/>
        </w:pBdr>
        <w:spacing w:before="0"/>
        <w:jc w:val="center"/>
        <w:rPr>
          <w:rFonts w:ascii="Gill Sans MT" w:hAnsi="Gill Sans MT"/>
          <w:color w:val="17365D" w:themeColor="text2" w:themeShade="BF"/>
          <w:sz w:val="36"/>
          <w:szCs w:val="36"/>
          <w:u w:val="none" w:color="C0504D"/>
        </w:rPr>
      </w:pPr>
      <w:r w:rsidRPr="00D94731">
        <w:rPr>
          <w:rFonts w:ascii="Gill Sans MT" w:hAnsi="Gill Sans MT"/>
          <w:color w:val="17365D" w:themeColor="text2" w:themeShade="BF"/>
          <w:sz w:val="36"/>
          <w:szCs w:val="36"/>
          <w:u w:val="none" w:color="C0504D"/>
        </w:rPr>
        <w:t>Business Services: Purchasing</w:t>
      </w:r>
      <w:r w:rsidR="001906AF" w:rsidRPr="00D94731">
        <w:rPr>
          <w:rFonts w:ascii="Gill Sans MT" w:hAnsi="Gill Sans MT"/>
          <w:color w:val="17365D" w:themeColor="text2" w:themeShade="BF"/>
          <w:sz w:val="36"/>
          <w:szCs w:val="36"/>
          <w:u w:val="none" w:color="C0504D"/>
        </w:rPr>
        <w:t xml:space="preserve"> Deadlines</w:t>
      </w:r>
    </w:p>
    <w:p w14:paraId="537C1233" w14:textId="3B722C30" w:rsidR="00EA415B" w:rsidRPr="00295F24" w:rsidRDefault="00EA415B" w:rsidP="0051421B">
      <w:pPr>
        <w:pStyle w:val="Title"/>
        <w:spacing w:before="0"/>
        <w:jc w:val="both"/>
        <w:rPr>
          <w:rFonts w:ascii="Gill Sans MT" w:hAnsi="Gill Sans MT"/>
          <w:b w:val="0"/>
          <w:bCs w:val="0"/>
          <w:sz w:val="16"/>
          <w:szCs w:val="16"/>
          <w:u w:val="none" w:color="C0504D"/>
        </w:rPr>
      </w:pPr>
    </w:p>
    <w:tbl>
      <w:tblPr>
        <w:tblStyle w:val="TableGrid"/>
        <w:tblW w:w="0" w:type="auto"/>
        <w:tblInd w:w="140" w:type="dxa"/>
        <w:tblLook w:val="04A0" w:firstRow="1" w:lastRow="0" w:firstColumn="1" w:lastColumn="0" w:noHBand="0" w:noVBand="1"/>
      </w:tblPr>
      <w:tblGrid>
        <w:gridCol w:w="2015"/>
        <w:gridCol w:w="4860"/>
        <w:gridCol w:w="7375"/>
      </w:tblGrid>
      <w:tr w:rsidR="00542CA7" w:rsidRPr="001906AF" w14:paraId="3A45B872" w14:textId="77777777" w:rsidTr="0051421B">
        <w:trPr>
          <w:trHeight w:val="404"/>
        </w:trPr>
        <w:tc>
          <w:tcPr>
            <w:tcW w:w="2015" w:type="dxa"/>
            <w:shd w:val="clear" w:color="auto" w:fill="244061" w:themeFill="accent1" w:themeFillShade="80"/>
          </w:tcPr>
          <w:p w14:paraId="45787828" w14:textId="5282060D" w:rsidR="00EA415B" w:rsidRPr="001906AF" w:rsidRDefault="00B765B0" w:rsidP="0051421B">
            <w:pPr>
              <w:pStyle w:val="Title"/>
              <w:spacing w:before="80" w:after="80"/>
              <w:ind w:left="0"/>
              <w:jc w:val="center"/>
              <w:rPr>
                <w:rFonts w:ascii="Gill Sans MT" w:hAnsi="Gill Sans MT"/>
                <w:smallCaps/>
                <w:color w:val="FFFFFF" w:themeColor="background1"/>
                <w:sz w:val="22"/>
                <w:szCs w:val="22"/>
                <w:u w:val="none" w:color="C0504D"/>
              </w:rPr>
            </w:pPr>
            <w:r w:rsidRPr="001906AF">
              <w:rPr>
                <w:rFonts w:ascii="Gill Sans MT" w:hAnsi="Gill Sans MT"/>
                <w:smallCaps/>
                <w:color w:val="FFFFFF" w:themeColor="background1"/>
                <w:sz w:val="22"/>
                <w:szCs w:val="22"/>
                <w:u w:val="none" w:color="C0504D"/>
              </w:rPr>
              <w:t>Cut-off Date</w:t>
            </w:r>
          </w:p>
        </w:tc>
        <w:tc>
          <w:tcPr>
            <w:tcW w:w="4860" w:type="dxa"/>
            <w:shd w:val="clear" w:color="auto" w:fill="244061" w:themeFill="accent1" w:themeFillShade="80"/>
          </w:tcPr>
          <w:p w14:paraId="39A66AE7" w14:textId="659BDB09" w:rsidR="00EA415B" w:rsidRPr="001906AF" w:rsidRDefault="00B765B0" w:rsidP="0051421B">
            <w:pPr>
              <w:pStyle w:val="Title"/>
              <w:spacing w:before="80" w:after="80"/>
              <w:ind w:left="0"/>
              <w:jc w:val="center"/>
              <w:rPr>
                <w:rFonts w:ascii="Gill Sans MT" w:hAnsi="Gill Sans MT"/>
                <w:smallCaps/>
                <w:color w:val="FFFFFF" w:themeColor="background1"/>
                <w:sz w:val="22"/>
                <w:szCs w:val="22"/>
                <w:u w:val="none" w:color="C0504D"/>
              </w:rPr>
            </w:pPr>
            <w:r w:rsidRPr="001906AF">
              <w:rPr>
                <w:rFonts w:ascii="Gill Sans MT" w:hAnsi="Gill Sans MT"/>
                <w:smallCaps/>
                <w:color w:val="FFFFFF" w:themeColor="background1"/>
                <w:sz w:val="22"/>
                <w:szCs w:val="22"/>
                <w:u w:val="none" w:color="C0504D"/>
              </w:rPr>
              <w:t>Description</w:t>
            </w:r>
          </w:p>
        </w:tc>
        <w:tc>
          <w:tcPr>
            <w:tcW w:w="7375" w:type="dxa"/>
            <w:shd w:val="clear" w:color="auto" w:fill="244061" w:themeFill="accent1" w:themeFillShade="80"/>
          </w:tcPr>
          <w:p w14:paraId="405FE7A0" w14:textId="6B11FE0B" w:rsidR="00EA415B" w:rsidRPr="001906AF" w:rsidRDefault="008B2AC9" w:rsidP="0051421B">
            <w:pPr>
              <w:pStyle w:val="Title"/>
              <w:spacing w:before="80" w:after="80"/>
              <w:ind w:left="0"/>
              <w:jc w:val="center"/>
              <w:rPr>
                <w:rFonts w:ascii="Gill Sans MT" w:hAnsi="Gill Sans MT"/>
                <w:smallCaps/>
                <w:color w:val="FFFFFF" w:themeColor="background1"/>
                <w:sz w:val="22"/>
                <w:szCs w:val="22"/>
                <w:u w:val="none" w:color="C0504D"/>
              </w:rPr>
            </w:pPr>
            <w:r w:rsidRPr="001906AF">
              <w:rPr>
                <w:rFonts w:ascii="Gill Sans MT" w:hAnsi="Gill Sans MT"/>
                <w:smallCaps/>
                <w:color w:val="FFFFFF" w:themeColor="background1"/>
                <w:sz w:val="22"/>
                <w:szCs w:val="22"/>
                <w:u w:val="none" w:color="C0504D"/>
              </w:rPr>
              <w:t>Notes</w:t>
            </w:r>
            <w:r w:rsidR="00A5149A" w:rsidRPr="001906AF">
              <w:rPr>
                <w:rFonts w:ascii="Gill Sans MT" w:hAnsi="Gill Sans MT"/>
                <w:smallCaps/>
                <w:color w:val="FFFFFF" w:themeColor="background1"/>
                <w:sz w:val="22"/>
                <w:szCs w:val="22"/>
                <w:u w:val="none" w:color="C0504D"/>
              </w:rPr>
              <w:t>/Explanation</w:t>
            </w:r>
          </w:p>
        </w:tc>
      </w:tr>
      <w:tr w:rsidR="00CE6CD3" w:rsidRPr="002C78BF" w14:paraId="725AED17" w14:textId="77777777" w:rsidTr="0051421B">
        <w:trPr>
          <w:trHeight w:val="1601"/>
        </w:trPr>
        <w:tc>
          <w:tcPr>
            <w:tcW w:w="2015" w:type="dxa"/>
          </w:tcPr>
          <w:p w14:paraId="704C66CF" w14:textId="7C5299E5" w:rsidR="00EA415B" w:rsidRPr="002C78BF" w:rsidRDefault="002A468D" w:rsidP="00EA415B">
            <w:pPr>
              <w:pStyle w:val="Title"/>
              <w:ind w:left="0"/>
              <w:jc w:val="both"/>
              <w:rPr>
                <w:rFonts w:ascii="Gill Sans MT" w:hAnsi="Gill Sans MT"/>
                <w:sz w:val="22"/>
                <w:szCs w:val="22"/>
                <w:u w:val="none" w:color="C0504D"/>
              </w:rPr>
            </w:pPr>
            <w:r w:rsidRPr="002C78BF">
              <w:rPr>
                <w:rFonts w:ascii="Gill Sans MT" w:hAnsi="Gill Sans MT"/>
                <w:sz w:val="22"/>
                <w:szCs w:val="22"/>
                <w:u w:val="none" w:color="C0504D"/>
              </w:rPr>
              <w:t xml:space="preserve">May </w:t>
            </w:r>
            <w:r w:rsidR="00F90A81">
              <w:rPr>
                <w:rFonts w:ascii="Gill Sans MT" w:hAnsi="Gill Sans MT"/>
                <w:sz w:val="22"/>
                <w:szCs w:val="22"/>
                <w:u w:val="none" w:color="C0504D"/>
              </w:rPr>
              <w:t>1</w:t>
            </w:r>
            <w:r w:rsidR="00E155E9">
              <w:rPr>
                <w:rFonts w:ascii="Gill Sans MT" w:hAnsi="Gill Sans MT"/>
                <w:sz w:val="22"/>
                <w:szCs w:val="22"/>
                <w:u w:val="none" w:color="C0504D"/>
              </w:rPr>
              <w:t>0</w:t>
            </w:r>
            <w:r w:rsidRPr="002C78BF">
              <w:rPr>
                <w:rFonts w:ascii="Gill Sans MT" w:hAnsi="Gill Sans MT"/>
                <w:sz w:val="22"/>
                <w:szCs w:val="22"/>
                <w:u w:val="none" w:color="C0504D"/>
              </w:rPr>
              <w:t>, 202</w:t>
            </w:r>
            <w:r w:rsidR="006D11ED" w:rsidRPr="002C78BF">
              <w:rPr>
                <w:rFonts w:ascii="Gill Sans MT" w:hAnsi="Gill Sans MT"/>
                <w:sz w:val="22"/>
                <w:szCs w:val="22"/>
                <w:u w:val="none" w:color="C0504D"/>
              </w:rPr>
              <w:t>3</w:t>
            </w:r>
          </w:p>
        </w:tc>
        <w:tc>
          <w:tcPr>
            <w:tcW w:w="4860" w:type="dxa"/>
          </w:tcPr>
          <w:p w14:paraId="3E1110EE" w14:textId="7657E4F0" w:rsidR="00EA415B" w:rsidRPr="002C78BF" w:rsidRDefault="00D17B3B" w:rsidP="00EA0C50">
            <w:pPr>
              <w:pStyle w:val="Title"/>
              <w:ind w:left="0"/>
              <w:rPr>
                <w:rFonts w:ascii="Gill Sans MT" w:hAnsi="Gill Sans MT"/>
                <w:b w:val="0"/>
                <w:bCs w:val="0"/>
                <w:sz w:val="22"/>
                <w:szCs w:val="22"/>
                <w:u w:val="none" w:color="C0504D"/>
              </w:rPr>
            </w:pPr>
            <w:r>
              <w:rPr>
                <w:rFonts w:ascii="Gill Sans MT" w:hAnsi="Gill Sans MT"/>
                <w:b w:val="0"/>
                <w:bCs w:val="0"/>
                <w:sz w:val="22"/>
                <w:szCs w:val="22"/>
                <w:u w:val="none" w:color="C0504D"/>
              </w:rPr>
              <w:t>P</w:t>
            </w:r>
            <w:r w:rsidR="00D13CA0" w:rsidRPr="002C78BF">
              <w:rPr>
                <w:rFonts w:ascii="Gill Sans MT" w:hAnsi="Gill Sans MT"/>
                <w:b w:val="0"/>
                <w:bCs w:val="0"/>
                <w:sz w:val="22"/>
                <w:szCs w:val="22"/>
                <w:u w:val="none" w:color="C0504D"/>
              </w:rPr>
              <w:t xml:space="preserve">urchase requisitions for equipment, furniture, and </w:t>
            </w:r>
            <w:r w:rsidR="002A468D" w:rsidRPr="002C78BF">
              <w:rPr>
                <w:rFonts w:ascii="Gill Sans MT" w:hAnsi="Gill Sans MT"/>
                <w:b w:val="0"/>
                <w:bCs w:val="0"/>
                <w:sz w:val="22"/>
                <w:szCs w:val="22"/>
                <w:u w:val="none" w:color="C0504D"/>
              </w:rPr>
              <w:t>supplies</w:t>
            </w:r>
            <w:r>
              <w:rPr>
                <w:rFonts w:ascii="Gill Sans MT" w:hAnsi="Gill Sans MT"/>
                <w:b w:val="0"/>
                <w:bCs w:val="0"/>
                <w:sz w:val="22"/>
                <w:szCs w:val="22"/>
                <w:u w:val="none" w:color="C0504D"/>
              </w:rPr>
              <w:t xml:space="preserve"> (tangible goods)</w:t>
            </w:r>
          </w:p>
        </w:tc>
        <w:tc>
          <w:tcPr>
            <w:tcW w:w="7375" w:type="dxa"/>
          </w:tcPr>
          <w:p w14:paraId="3CBBBCB5" w14:textId="77777777" w:rsidR="00EA415B" w:rsidRPr="002C78BF" w:rsidRDefault="003E28E4" w:rsidP="00EA0C50">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All i</w:t>
            </w:r>
            <w:r w:rsidR="00D13CA0" w:rsidRPr="002C78BF">
              <w:rPr>
                <w:rFonts w:ascii="Gill Sans MT" w:hAnsi="Gill Sans MT"/>
                <w:b w:val="0"/>
                <w:bCs w:val="0"/>
                <w:sz w:val="22"/>
                <w:szCs w:val="22"/>
                <w:u w:val="none" w:color="C0504D"/>
              </w:rPr>
              <w:t xml:space="preserve">tems </w:t>
            </w:r>
            <w:r w:rsidR="00D13CA0" w:rsidRPr="002C78BF">
              <w:rPr>
                <w:rFonts w:ascii="Gill Sans MT" w:hAnsi="Gill Sans MT"/>
                <w:b w:val="0"/>
                <w:bCs w:val="0"/>
                <w:sz w:val="22"/>
                <w:szCs w:val="22"/>
              </w:rPr>
              <w:t>must arrive</w:t>
            </w:r>
            <w:r w:rsidR="00D13CA0" w:rsidRPr="002C78BF">
              <w:rPr>
                <w:rFonts w:ascii="Gill Sans MT" w:hAnsi="Gill Sans MT"/>
                <w:b w:val="0"/>
                <w:bCs w:val="0"/>
                <w:sz w:val="22"/>
                <w:szCs w:val="22"/>
                <w:u w:val="none" w:color="C0504D"/>
              </w:rPr>
              <w:t xml:space="preserve"> by June 30, 2023 in order to be expensed in the current fiscal year.  Those items received at a later date will </w:t>
            </w:r>
            <w:proofErr w:type="gramStart"/>
            <w:r w:rsidR="00D13CA0" w:rsidRPr="002C78BF">
              <w:rPr>
                <w:rFonts w:ascii="Gill Sans MT" w:hAnsi="Gill Sans MT"/>
                <w:b w:val="0"/>
                <w:bCs w:val="0"/>
                <w:sz w:val="22"/>
                <w:szCs w:val="22"/>
                <w:u w:val="none" w:color="C0504D"/>
              </w:rPr>
              <w:t>impact</w:t>
            </w:r>
            <w:proofErr w:type="gramEnd"/>
            <w:r w:rsidR="00D13CA0" w:rsidRPr="002C78BF">
              <w:rPr>
                <w:rFonts w:ascii="Gill Sans MT" w:hAnsi="Gill Sans MT"/>
                <w:b w:val="0"/>
                <w:bCs w:val="0"/>
                <w:sz w:val="22"/>
                <w:szCs w:val="22"/>
                <w:u w:val="none" w:color="C0504D"/>
              </w:rPr>
              <w:t xml:space="preserve"> the following year’s budget</w:t>
            </w:r>
            <w:r w:rsidR="006422A2" w:rsidRPr="002C78BF">
              <w:rPr>
                <w:rFonts w:ascii="Gill Sans MT" w:hAnsi="Gill Sans MT"/>
                <w:b w:val="0"/>
                <w:bCs w:val="0"/>
                <w:sz w:val="22"/>
                <w:szCs w:val="22"/>
                <w:u w:val="none" w:color="C0504D"/>
              </w:rPr>
              <w:t xml:space="preserve"> funds</w:t>
            </w:r>
            <w:r w:rsidR="00D13CA0" w:rsidRPr="002C78BF">
              <w:rPr>
                <w:rFonts w:ascii="Gill Sans MT" w:hAnsi="Gill Sans MT"/>
                <w:b w:val="0"/>
                <w:bCs w:val="0"/>
                <w:sz w:val="22"/>
                <w:szCs w:val="22"/>
                <w:u w:val="none" w:color="C0504D"/>
              </w:rPr>
              <w:t>.</w:t>
            </w:r>
          </w:p>
          <w:p w14:paraId="2FC34C82" w14:textId="02DAF512" w:rsidR="00EA0C50" w:rsidRPr="002C78BF" w:rsidRDefault="00EA0C50" w:rsidP="00EA0C50">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 xml:space="preserve">Computer equipment or software requires authorization from the IS department and may add additional time.  </w:t>
            </w:r>
            <w:r w:rsidR="00FF244A">
              <w:rPr>
                <w:rFonts w:ascii="Gill Sans MT" w:hAnsi="Gill Sans MT"/>
                <w:b w:val="0"/>
                <w:bCs w:val="0"/>
                <w:sz w:val="22"/>
                <w:szCs w:val="22"/>
                <w:u w:val="none" w:color="C0504D"/>
              </w:rPr>
              <w:t xml:space="preserve"> P</w:t>
            </w:r>
            <w:r w:rsidRPr="002C78BF">
              <w:rPr>
                <w:rFonts w:ascii="Gill Sans MT" w:hAnsi="Gill Sans MT"/>
                <w:b w:val="0"/>
                <w:bCs w:val="0"/>
                <w:sz w:val="22"/>
                <w:szCs w:val="22"/>
                <w:u w:val="none" w:color="C0504D"/>
              </w:rPr>
              <w:t>lease plan accordingly!</w:t>
            </w:r>
          </w:p>
        </w:tc>
      </w:tr>
      <w:tr w:rsidR="0051421B" w:rsidRPr="002C78BF" w14:paraId="64433AF7" w14:textId="77777777" w:rsidTr="0051421B">
        <w:trPr>
          <w:trHeight w:val="449"/>
        </w:trPr>
        <w:tc>
          <w:tcPr>
            <w:tcW w:w="2015" w:type="dxa"/>
          </w:tcPr>
          <w:p w14:paraId="097EF1F2" w14:textId="3F2CEF2A" w:rsidR="0051421B" w:rsidRPr="002C78BF" w:rsidRDefault="0051421B" w:rsidP="00EA415B">
            <w:pPr>
              <w:pStyle w:val="Title"/>
              <w:ind w:left="0"/>
              <w:jc w:val="both"/>
              <w:rPr>
                <w:rFonts w:ascii="Gill Sans MT" w:hAnsi="Gill Sans MT"/>
                <w:sz w:val="22"/>
                <w:szCs w:val="22"/>
                <w:u w:val="none" w:color="C0504D"/>
              </w:rPr>
            </w:pPr>
            <w:r>
              <w:rPr>
                <w:rFonts w:ascii="Gill Sans MT" w:hAnsi="Gill Sans MT"/>
                <w:sz w:val="22"/>
                <w:szCs w:val="22"/>
                <w:u w:val="none" w:color="C0504D"/>
              </w:rPr>
              <w:t>June 1, 2023</w:t>
            </w:r>
          </w:p>
        </w:tc>
        <w:tc>
          <w:tcPr>
            <w:tcW w:w="4860" w:type="dxa"/>
          </w:tcPr>
          <w:p w14:paraId="66148091" w14:textId="3ED2F574" w:rsidR="0051421B" w:rsidRPr="002C78BF" w:rsidRDefault="0051421B" w:rsidP="00EA0C50">
            <w:pPr>
              <w:pStyle w:val="Title"/>
              <w:ind w:left="0"/>
              <w:rPr>
                <w:rFonts w:ascii="Gill Sans MT" w:hAnsi="Gill Sans MT"/>
                <w:b w:val="0"/>
                <w:bCs w:val="0"/>
                <w:sz w:val="22"/>
                <w:szCs w:val="22"/>
                <w:u w:val="none" w:color="C0504D"/>
              </w:rPr>
            </w:pPr>
            <w:r>
              <w:rPr>
                <w:rFonts w:ascii="Gill Sans MT" w:hAnsi="Gill Sans MT"/>
                <w:b w:val="0"/>
                <w:bCs w:val="0"/>
                <w:sz w:val="22"/>
                <w:szCs w:val="22"/>
                <w:u w:val="none" w:color="C0504D"/>
              </w:rPr>
              <w:t>Changes (increase/decrease) to existing POs</w:t>
            </w:r>
          </w:p>
        </w:tc>
        <w:tc>
          <w:tcPr>
            <w:tcW w:w="7375" w:type="dxa"/>
          </w:tcPr>
          <w:p w14:paraId="3B952899" w14:textId="7C4A0F89" w:rsidR="0051421B" w:rsidRPr="002C78BF" w:rsidRDefault="0051421B" w:rsidP="00EA0C50">
            <w:pPr>
              <w:pStyle w:val="Title"/>
              <w:ind w:left="0"/>
              <w:rPr>
                <w:rFonts w:ascii="Gill Sans MT" w:hAnsi="Gill Sans MT"/>
                <w:b w:val="0"/>
                <w:bCs w:val="0"/>
                <w:sz w:val="22"/>
                <w:szCs w:val="22"/>
                <w:u w:val="none" w:color="C0504D"/>
              </w:rPr>
            </w:pPr>
            <w:r>
              <w:rPr>
                <w:rFonts w:ascii="Gill Sans MT" w:hAnsi="Gill Sans MT"/>
                <w:b w:val="0"/>
                <w:bCs w:val="0"/>
                <w:sz w:val="22"/>
                <w:szCs w:val="22"/>
                <w:u w:val="none" w:color="C0504D"/>
              </w:rPr>
              <w:t>Requests for changes to existing POs must be received by the deadline.</w:t>
            </w:r>
          </w:p>
        </w:tc>
      </w:tr>
      <w:tr w:rsidR="006D11ED" w:rsidRPr="002C78BF" w14:paraId="343F0B72" w14:textId="77777777" w:rsidTr="0051421B">
        <w:trPr>
          <w:trHeight w:val="980"/>
        </w:trPr>
        <w:tc>
          <w:tcPr>
            <w:tcW w:w="2015" w:type="dxa"/>
          </w:tcPr>
          <w:p w14:paraId="3ED8CF92" w14:textId="6EBC82C8" w:rsidR="006D11ED" w:rsidRPr="002C78BF" w:rsidRDefault="008F382E" w:rsidP="00EA415B">
            <w:pPr>
              <w:pStyle w:val="Title"/>
              <w:ind w:left="0"/>
              <w:jc w:val="both"/>
              <w:rPr>
                <w:rFonts w:ascii="Gill Sans MT" w:hAnsi="Gill Sans MT"/>
                <w:sz w:val="22"/>
                <w:szCs w:val="22"/>
                <w:u w:val="none" w:color="C0504D"/>
              </w:rPr>
            </w:pPr>
            <w:r w:rsidRPr="002C78BF">
              <w:rPr>
                <w:rFonts w:ascii="Gill Sans MT" w:hAnsi="Gill Sans MT"/>
                <w:sz w:val="22"/>
                <w:szCs w:val="22"/>
                <w:u w:val="none" w:color="C0504D"/>
              </w:rPr>
              <w:t xml:space="preserve">June </w:t>
            </w:r>
            <w:r w:rsidR="00AB050D" w:rsidRPr="002C78BF">
              <w:rPr>
                <w:rFonts w:ascii="Gill Sans MT" w:hAnsi="Gill Sans MT"/>
                <w:sz w:val="22"/>
                <w:szCs w:val="22"/>
                <w:u w:val="none" w:color="C0504D"/>
              </w:rPr>
              <w:t>9</w:t>
            </w:r>
            <w:r w:rsidRPr="002C78BF">
              <w:rPr>
                <w:rFonts w:ascii="Gill Sans MT" w:hAnsi="Gill Sans MT"/>
                <w:sz w:val="22"/>
                <w:szCs w:val="22"/>
                <w:u w:val="none" w:color="C0504D"/>
              </w:rPr>
              <w:t>, 2023</w:t>
            </w:r>
          </w:p>
        </w:tc>
        <w:tc>
          <w:tcPr>
            <w:tcW w:w="4860" w:type="dxa"/>
          </w:tcPr>
          <w:p w14:paraId="1E9FF36D" w14:textId="36D6D2B6" w:rsidR="006D11ED" w:rsidRPr="002C78BF" w:rsidRDefault="006D11ED" w:rsidP="00EA0C50">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Items purchased with Open POs</w:t>
            </w:r>
            <w:r w:rsidR="003E28E4" w:rsidRPr="002C78BF">
              <w:rPr>
                <w:rFonts w:ascii="Gill Sans MT" w:hAnsi="Gill Sans MT"/>
                <w:b w:val="0"/>
                <w:bCs w:val="0"/>
                <w:sz w:val="22"/>
                <w:szCs w:val="22"/>
                <w:u w:val="none" w:color="C0504D"/>
              </w:rPr>
              <w:t xml:space="preserve"> (</w:t>
            </w:r>
            <w:r w:rsidR="006422A2" w:rsidRPr="002C78BF">
              <w:rPr>
                <w:rFonts w:ascii="Gill Sans MT" w:hAnsi="Gill Sans MT"/>
                <w:b w:val="0"/>
                <w:bCs w:val="0"/>
                <w:sz w:val="22"/>
                <w:szCs w:val="22"/>
                <w:u w:val="none" w:color="C0504D"/>
              </w:rPr>
              <w:t>Amazon, Home Depot, Office Depot, etc.)</w:t>
            </w:r>
          </w:p>
        </w:tc>
        <w:tc>
          <w:tcPr>
            <w:tcW w:w="7375" w:type="dxa"/>
          </w:tcPr>
          <w:p w14:paraId="794A58D6" w14:textId="2EDD1486" w:rsidR="006D11ED" w:rsidRPr="002C78BF" w:rsidRDefault="00881CC0" w:rsidP="00EA0C50">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All items must</w:t>
            </w:r>
            <w:r w:rsidR="008B2AC9" w:rsidRPr="002C78BF">
              <w:rPr>
                <w:rFonts w:ascii="Gill Sans MT" w:hAnsi="Gill Sans MT"/>
                <w:b w:val="0"/>
                <w:bCs w:val="0"/>
                <w:sz w:val="22"/>
                <w:szCs w:val="22"/>
                <w:u w:val="none" w:color="C0504D"/>
              </w:rPr>
              <w:t xml:space="preserve"> be received by June 30, 2023 in order to be expensed in the </w:t>
            </w:r>
            <w:r w:rsidR="00EE4B01">
              <w:rPr>
                <w:rFonts w:ascii="Gill Sans MT" w:hAnsi="Gill Sans MT"/>
                <w:b w:val="0"/>
                <w:bCs w:val="0"/>
                <w:sz w:val="22"/>
                <w:szCs w:val="22"/>
                <w:u w:val="none" w:color="C0504D"/>
              </w:rPr>
              <w:t>2022-23</w:t>
            </w:r>
            <w:r w:rsidR="008B2AC9" w:rsidRPr="002C78BF">
              <w:rPr>
                <w:rFonts w:ascii="Gill Sans MT" w:hAnsi="Gill Sans MT"/>
                <w:b w:val="0"/>
                <w:bCs w:val="0"/>
                <w:sz w:val="22"/>
                <w:szCs w:val="22"/>
                <w:u w:val="none" w:color="C0504D"/>
              </w:rPr>
              <w:t xml:space="preserve"> fiscal year.  </w:t>
            </w:r>
            <w:r w:rsidR="008B2AC9" w:rsidRPr="00533956">
              <w:rPr>
                <w:rFonts w:ascii="Gill Sans MT" w:hAnsi="Gill Sans MT"/>
                <w:sz w:val="22"/>
                <w:szCs w:val="22"/>
                <w:u w:val="none" w:color="C0504D"/>
              </w:rPr>
              <w:t xml:space="preserve">Open POs </w:t>
            </w:r>
            <w:r w:rsidR="00533956" w:rsidRPr="00533956">
              <w:rPr>
                <w:rFonts w:ascii="Gill Sans MT" w:hAnsi="Gill Sans MT"/>
                <w:sz w:val="22"/>
                <w:szCs w:val="22"/>
                <w:u w:val="none" w:color="C0504D"/>
              </w:rPr>
              <w:t>do</w:t>
            </w:r>
            <w:r w:rsidR="008B2AC9" w:rsidRPr="00533956">
              <w:rPr>
                <w:rFonts w:ascii="Gill Sans MT" w:hAnsi="Gill Sans MT"/>
                <w:sz w:val="22"/>
                <w:szCs w:val="22"/>
                <w:u w:val="none" w:color="C0504D"/>
              </w:rPr>
              <w:t xml:space="preserve"> not roll from year to year</w:t>
            </w:r>
            <w:r w:rsidR="008B2AC9" w:rsidRPr="002C78BF">
              <w:rPr>
                <w:rFonts w:ascii="Gill Sans MT" w:hAnsi="Gill Sans MT"/>
                <w:b w:val="0"/>
                <w:bCs w:val="0"/>
                <w:sz w:val="22"/>
                <w:szCs w:val="22"/>
                <w:u w:val="none" w:color="C0504D"/>
              </w:rPr>
              <w:t>.  A new open PO should be entered for the new fiscal year</w:t>
            </w:r>
            <w:r w:rsidR="00D86124" w:rsidRPr="002C78BF">
              <w:rPr>
                <w:rFonts w:ascii="Gill Sans MT" w:hAnsi="Gill Sans MT"/>
                <w:b w:val="0"/>
                <w:bCs w:val="0"/>
                <w:sz w:val="22"/>
                <w:szCs w:val="22"/>
                <w:u w:val="none" w:color="C0504D"/>
              </w:rPr>
              <w:t xml:space="preserve"> for 2023-24 purchases</w:t>
            </w:r>
            <w:r w:rsidR="008B2AC9" w:rsidRPr="002C78BF">
              <w:rPr>
                <w:rFonts w:ascii="Gill Sans MT" w:hAnsi="Gill Sans MT"/>
                <w:b w:val="0"/>
                <w:bCs w:val="0"/>
                <w:sz w:val="22"/>
                <w:szCs w:val="22"/>
                <w:u w:val="none" w:color="C0504D"/>
              </w:rPr>
              <w:t>.</w:t>
            </w:r>
          </w:p>
        </w:tc>
      </w:tr>
      <w:tr w:rsidR="00E64E2A" w:rsidRPr="002C78BF" w14:paraId="1B5E1863" w14:textId="77777777" w:rsidTr="00601C5D">
        <w:trPr>
          <w:trHeight w:val="1790"/>
        </w:trPr>
        <w:tc>
          <w:tcPr>
            <w:tcW w:w="2015" w:type="dxa"/>
          </w:tcPr>
          <w:p w14:paraId="211233C2" w14:textId="77777777" w:rsidR="00E64E2A" w:rsidRPr="002C78BF" w:rsidRDefault="00E64E2A" w:rsidP="00601C5D">
            <w:pPr>
              <w:pStyle w:val="Title"/>
              <w:ind w:left="0"/>
              <w:jc w:val="both"/>
              <w:rPr>
                <w:rFonts w:ascii="Gill Sans MT" w:hAnsi="Gill Sans MT"/>
                <w:sz w:val="22"/>
                <w:szCs w:val="22"/>
                <w:u w:val="none" w:color="C0504D"/>
              </w:rPr>
            </w:pPr>
            <w:r w:rsidRPr="00FF244A">
              <w:rPr>
                <w:rFonts w:ascii="Gill Sans MT" w:hAnsi="Gill Sans MT"/>
                <w:sz w:val="22"/>
                <w:szCs w:val="22"/>
                <w:u w:val="none" w:color="C0504D"/>
              </w:rPr>
              <w:t>June 22, 2023</w:t>
            </w:r>
          </w:p>
        </w:tc>
        <w:tc>
          <w:tcPr>
            <w:tcW w:w="4860" w:type="dxa"/>
          </w:tcPr>
          <w:p w14:paraId="52586321" w14:textId="77777777" w:rsidR="00E64E2A" w:rsidRPr="002C78BF" w:rsidRDefault="00E64E2A" w:rsidP="00601C5D">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CalCard Purchases</w:t>
            </w:r>
          </w:p>
        </w:tc>
        <w:tc>
          <w:tcPr>
            <w:tcW w:w="7375" w:type="dxa"/>
          </w:tcPr>
          <w:p w14:paraId="23DFD809" w14:textId="77777777" w:rsidR="00E64E2A" w:rsidRPr="002C78BF" w:rsidRDefault="00E64E2A" w:rsidP="00601C5D">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CalCard charges can take 1-2 business days to post on your statement.  Charges posted after the June statement period will be paid from the 202</w:t>
            </w:r>
            <w:r>
              <w:rPr>
                <w:rFonts w:ascii="Gill Sans MT" w:hAnsi="Gill Sans MT"/>
                <w:b w:val="0"/>
                <w:bCs w:val="0"/>
                <w:sz w:val="22"/>
                <w:szCs w:val="22"/>
                <w:u w:val="none" w:color="C0504D"/>
              </w:rPr>
              <w:t>3</w:t>
            </w:r>
            <w:r w:rsidRPr="002C78BF">
              <w:rPr>
                <w:rFonts w:ascii="Gill Sans MT" w:hAnsi="Gill Sans MT"/>
                <w:b w:val="0"/>
                <w:bCs w:val="0"/>
                <w:sz w:val="22"/>
                <w:szCs w:val="22"/>
                <w:u w:val="none" w:color="C0504D"/>
              </w:rPr>
              <w:t>-2</w:t>
            </w:r>
            <w:r>
              <w:rPr>
                <w:rFonts w:ascii="Gill Sans MT" w:hAnsi="Gill Sans MT"/>
                <w:b w:val="0"/>
                <w:bCs w:val="0"/>
                <w:sz w:val="22"/>
                <w:szCs w:val="22"/>
                <w:u w:val="none" w:color="C0504D"/>
              </w:rPr>
              <w:t>4</w:t>
            </w:r>
            <w:r w:rsidRPr="002C78BF">
              <w:rPr>
                <w:rFonts w:ascii="Gill Sans MT" w:hAnsi="Gill Sans MT"/>
                <w:b w:val="0"/>
                <w:bCs w:val="0"/>
                <w:sz w:val="22"/>
                <w:szCs w:val="22"/>
                <w:u w:val="none" w:color="C0504D"/>
              </w:rPr>
              <w:t xml:space="preserve"> Fiscal Year budget.  </w:t>
            </w:r>
          </w:p>
          <w:p w14:paraId="5D6F8C16" w14:textId="77777777" w:rsidR="00E64E2A" w:rsidRPr="002C78BF" w:rsidRDefault="00E64E2A" w:rsidP="00601C5D">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 xml:space="preserve">Remember, CalCard purchases do not encumber funds and can lead to an over-spent budget.  </w:t>
            </w:r>
            <w:r w:rsidRPr="00FF244A">
              <w:rPr>
                <w:rFonts w:ascii="Gill Sans MT" w:hAnsi="Gill Sans MT"/>
                <w:i/>
                <w:iCs/>
                <w:sz w:val="22"/>
                <w:szCs w:val="22"/>
                <w:u w:val="none" w:color="C0504D"/>
              </w:rPr>
              <w:t>No equipment greater than $200, services, or personal expenses may be charged with a CalCard.</w:t>
            </w:r>
          </w:p>
        </w:tc>
      </w:tr>
      <w:tr w:rsidR="008F382E" w:rsidRPr="002C78BF" w14:paraId="49640FF8" w14:textId="77777777" w:rsidTr="0051421B">
        <w:trPr>
          <w:trHeight w:val="1061"/>
        </w:trPr>
        <w:tc>
          <w:tcPr>
            <w:tcW w:w="2015" w:type="dxa"/>
          </w:tcPr>
          <w:p w14:paraId="5F4EF5EA" w14:textId="7A5B3FEB" w:rsidR="008F382E" w:rsidRPr="002C78BF" w:rsidRDefault="008F382E" w:rsidP="00EA415B">
            <w:pPr>
              <w:pStyle w:val="Title"/>
              <w:ind w:left="0"/>
              <w:jc w:val="both"/>
              <w:rPr>
                <w:rFonts w:ascii="Gill Sans MT" w:hAnsi="Gill Sans MT"/>
                <w:sz w:val="22"/>
                <w:szCs w:val="22"/>
                <w:u w:val="none" w:color="C0504D"/>
              </w:rPr>
            </w:pPr>
            <w:r w:rsidRPr="002C78BF">
              <w:rPr>
                <w:rFonts w:ascii="Gill Sans MT" w:hAnsi="Gill Sans MT"/>
                <w:sz w:val="22"/>
                <w:szCs w:val="22"/>
                <w:u w:val="none" w:color="C0504D"/>
              </w:rPr>
              <w:t>June 30, 2023</w:t>
            </w:r>
          </w:p>
        </w:tc>
        <w:tc>
          <w:tcPr>
            <w:tcW w:w="12235" w:type="dxa"/>
            <w:gridSpan w:val="2"/>
          </w:tcPr>
          <w:p w14:paraId="7E57C4EC" w14:textId="7FA48D5D" w:rsidR="0079462D" w:rsidRDefault="008F382E" w:rsidP="00EA0C50">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 xml:space="preserve">All 2022-23 </w:t>
            </w:r>
            <w:proofErr w:type="gramStart"/>
            <w:r w:rsidRPr="002C78BF">
              <w:rPr>
                <w:rFonts w:ascii="Gill Sans MT" w:hAnsi="Gill Sans MT"/>
                <w:b w:val="0"/>
                <w:bCs w:val="0"/>
                <w:sz w:val="22"/>
                <w:szCs w:val="22"/>
                <w:u w:val="none" w:color="C0504D"/>
              </w:rPr>
              <w:t>purchase</w:t>
            </w:r>
            <w:r w:rsidR="002408FC">
              <w:rPr>
                <w:rFonts w:ascii="Gill Sans MT" w:hAnsi="Gill Sans MT"/>
                <w:b w:val="0"/>
                <w:bCs w:val="0"/>
                <w:sz w:val="22"/>
                <w:szCs w:val="22"/>
                <w:u w:val="none" w:color="C0504D"/>
              </w:rPr>
              <w:t>s and</w:t>
            </w:r>
            <w:proofErr w:type="gramEnd"/>
            <w:r w:rsidRPr="002C78BF">
              <w:rPr>
                <w:rFonts w:ascii="Gill Sans MT" w:hAnsi="Gill Sans MT"/>
                <w:b w:val="0"/>
                <w:bCs w:val="0"/>
                <w:sz w:val="22"/>
                <w:szCs w:val="22"/>
                <w:u w:val="none" w:color="C0504D"/>
              </w:rPr>
              <w:t xml:space="preserve"> must be </w:t>
            </w:r>
            <w:r w:rsidRPr="002C78BF">
              <w:rPr>
                <w:rFonts w:ascii="Gill Sans MT" w:hAnsi="Gill Sans MT"/>
                <w:b w:val="0"/>
                <w:bCs w:val="0"/>
                <w:sz w:val="22"/>
                <w:szCs w:val="22"/>
              </w:rPr>
              <w:t>physically received</w:t>
            </w:r>
            <w:r w:rsidRPr="002C78BF">
              <w:rPr>
                <w:rFonts w:ascii="Gill Sans MT" w:hAnsi="Gill Sans MT"/>
                <w:b w:val="0"/>
                <w:bCs w:val="0"/>
                <w:sz w:val="22"/>
                <w:szCs w:val="22"/>
                <w:u w:val="none" w:color="C0504D"/>
              </w:rPr>
              <w:t xml:space="preserve"> </w:t>
            </w:r>
            <w:r w:rsidR="00F73A6E" w:rsidRPr="002C78BF">
              <w:rPr>
                <w:rFonts w:ascii="Gill Sans MT" w:hAnsi="Gill Sans MT"/>
                <w:b w:val="0"/>
                <w:bCs w:val="0"/>
                <w:sz w:val="22"/>
                <w:szCs w:val="22"/>
                <w:u w:val="none" w:color="C0504D"/>
              </w:rPr>
              <w:t xml:space="preserve">at the </w:t>
            </w:r>
            <w:proofErr w:type="gramStart"/>
            <w:r w:rsidR="00F73A6E" w:rsidRPr="002C78BF">
              <w:rPr>
                <w:rFonts w:ascii="Gill Sans MT" w:hAnsi="Gill Sans MT"/>
                <w:b w:val="0"/>
                <w:bCs w:val="0"/>
                <w:sz w:val="22"/>
                <w:szCs w:val="22"/>
                <w:u w:val="none" w:color="C0504D"/>
              </w:rPr>
              <w:t>District</w:t>
            </w:r>
            <w:proofErr w:type="gramEnd"/>
            <w:r w:rsidR="00F73A6E" w:rsidRPr="002C78BF">
              <w:rPr>
                <w:rFonts w:ascii="Gill Sans MT" w:hAnsi="Gill Sans MT"/>
                <w:b w:val="0"/>
                <w:bCs w:val="0"/>
                <w:sz w:val="22"/>
                <w:szCs w:val="22"/>
                <w:u w:val="none" w:color="C0504D"/>
              </w:rPr>
              <w:t xml:space="preserve"> in order </w:t>
            </w:r>
            <w:r w:rsidRPr="002C78BF">
              <w:rPr>
                <w:rFonts w:ascii="Gill Sans MT" w:hAnsi="Gill Sans MT"/>
                <w:b w:val="0"/>
                <w:bCs w:val="0"/>
                <w:sz w:val="22"/>
                <w:szCs w:val="22"/>
                <w:u w:val="none" w:color="C0504D"/>
              </w:rPr>
              <w:t>to be charged to this fiscal year’s budget</w:t>
            </w:r>
            <w:r w:rsidR="0051421B">
              <w:rPr>
                <w:rFonts w:ascii="Gill Sans MT" w:hAnsi="Gill Sans MT"/>
                <w:b w:val="0"/>
                <w:bCs w:val="0"/>
                <w:sz w:val="22"/>
                <w:szCs w:val="22"/>
                <w:u w:val="none" w:color="C0504D"/>
              </w:rPr>
              <w:t xml:space="preserve"> and all services must be completed by 6/30/23 to be expensed in this fiscal year.</w:t>
            </w:r>
          </w:p>
          <w:p w14:paraId="03F42CB7" w14:textId="29D18324" w:rsidR="008F382E" w:rsidRPr="002C78BF" w:rsidRDefault="008F382E" w:rsidP="00EA0C50">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 xml:space="preserve">Any </w:t>
            </w:r>
            <w:r w:rsidR="0079462D">
              <w:rPr>
                <w:rFonts w:ascii="Gill Sans MT" w:hAnsi="Gill Sans MT"/>
                <w:b w:val="0"/>
                <w:bCs w:val="0"/>
                <w:sz w:val="22"/>
                <w:szCs w:val="22"/>
                <w:u w:val="none" w:color="C0504D"/>
              </w:rPr>
              <w:t>purchases</w:t>
            </w:r>
            <w:r w:rsidR="009F6A72">
              <w:rPr>
                <w:rFonts w:ascii="Gill Sans MT" w:hAnsi="Gill Sans MT"/>
                <w:b w:val="0"/>
                <w:bCs w:val="0"/>
                <w:sz w:val="22"/>
                <w:szCs w:val="22"/>
                <w:u w:val="none" w:color="C0504D"/>
              </w:rPr>
              <w:t xml:space="preserve"> </w:t>
            </w:r>
            <w:r w:rsidR="009F6A72" w:rsidRPr="002C78BF">
              <w:rPr>
                <w:rFonts w:ascii="Gill Sans MT" w:hAnsi="Gill Sans MT"/>
                <w:b w:val="0"/>
                <w:bCs w:val="0"/>
                <w:sz w:val="22"/>
                <w:szCs w:val="22"/>
                <w:u w:val="none" w:color="C0504D"/>
              </w:rPr>
              <w:t>received</w:t>
            </w:r>
            <w:r w:rsidRPr="002C78BF">
              <w:rPr>
                <w:rFonts w:ascii="Gill Sans MT" w:hAnsi="Gill Sans MT"/>
                <w:b w:val="0"/>
                <w:bCs w:val="0"/>
                <w:sz w:val="22"/>
                <w:szCs w:val="22"/>
                <w:u w:val="none" w:color="C0504D"/>
              </w:rPr>
              <w:t xml:space="preserve"> </w:t>
            </w:r>
            <w:r w:rsidR="009F6A72">
              <w:rPr>
                <w:rFonts w:ascii="Gill Sans MT" w:hAnsi="Gill Sans MT"/>
                <w:b w:val="0"/>
                <w:bCs w:val="0"/>
                <w:sz w:val="22"/>
                <w:szCs w:val="22"/>
                <w:u w:val="none" w:color="C0504D"/>
              </w:rPr>
              <w:t xml:space="preserve">and services preformed </w:t>
            </w:r>
            <w:r w:rsidRPr="002C78BF">
              <w:rPr>
                <w:rFonts w:ascii="Gill Sans MT" w:hAnsi="Gill Sans MT"/>
                <w:b w:val="0"/>
                <w:bCs w:val="0"/>
                <w:sz w:val="22"/>
                <w:szCs w:val="22"/>
                <w:u w:val="none" w:color="C0504D"/>
              </w:rPr>
              <w:t>after June 30, 2023 will be expensed against the 2023-24 budget.</w:t>
            </w:r>
          </w:p>
        </w:tc>
      </w:tr>
      <w:tr w:rsidR="00FC2879" w:rsidRPr="002C78BF" w14:paraId="4622752F" w14:textId="77777777" w:rsidTr="00FF244A">
        <w:trPr>
          <w:trHeight w:val="1340"/>
        </w:trPr>
        <w:tc>
          <w:tcPr>
            <w:tcW w:w="2015" w:type="dxa"/>
          </w:tcPr>
          <w:p w14:paraId="19732710" w14:textId="33815304" w:rsidR="00FC2879" w:rsidRPr="002C78BF" w:rsidRDefault="00633D46" w:rsidP="00EA415B">
            <w:pPr>
              <w:pStyle w:val="Title"/>
              <w:ind w:left="0"/>
              <w:jc w:val="both"/>
              <w:rPr>
                <w:rFonts w:ascii="Gill Sans MT" w:hAnsi="Gill Sans MT"/>
                <w:sz w:val="22"/>
                <w:szCs w:val="22"/>
                <w:u w:val="none" w:color="C0504D"/>
              </w:rPr>
            </w:pPr>
            <w:r w:rsidRPr="002C78BF">
              <w:rPr>
                <w:rFonts w:ascii="Gill Sans MT" w:hAnsi="Gill Sans MT"/>
                <w:sz w:val="22"/>
                <w:szCs w:val="22"/>
                <w:u w:val="none" w:color="C0504D"/>
              </w:rPr>
              <w:t>July 1, 2023</w:t>
            </w:r>
          </w:p>
        </w:tc>
        <w:tc>
          <w:tcPr>
            <w:tcW w:w="4860" w:type="dxa"/>
          </w:tcPr>
          <w:p w14:paraId="544C0084" w14:textId="03618E67" w:rsidR="00FC2879" w:rsidRPr="002C78BF" w:rsidRDefault="00633D46" w:rsidP="00EA0C50">
            <w:pPr>
              <w:pStyle w:val="Title"/>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Purchase Order (PO) Rollovers</w:t>
            </w:r>
          </w:p>
        </w:tc>
        <w:tc>
          <w:tcPr>
            <w:tcW w:w="7375" w:type="dxa"/>
          </w:tcPr>
          <w:p w14:paraId="06792985" w14:textId="77777777" w:rsidR="00FF244A" w:rsidRDefault="00633D46" w:rsidP="00FF244A">
            <w:pPr>
              <w:pStyle w:val="Title"/>
              <w:spacing w:after="120"/>
              <w:ind w:left="0"/>
              <w:rPr>
                <w:rFonts w:ascii="Gill Sans MT" w:hAnsi="Gill Sans MT"/>
                <w:b w:val="0"/>
                <w:bCs w:val="0"/>
                <w:sz w:val="22"/>
                <w:szCs w:val="22"/>
                <w:u w:val="none" w:color="C0504D"/>
              </w:rPr>
            </w:pPr>
            <w:r w:rsidRPr="002C78BF">
              <w:rPr>
                <w:rFonts w:ascii="Gill Sans MT" w:hAnsi="Gill Sans MT"/>
                <w:b w:val="0"/>
                <w:bCs w:val="0"/>
                <w:sz w:val="22"/>
                <w:szCs w:val="22"/>
                <w:u w:val="none" w:color="C0504D"/>
              </w:rPr>
              <w:t>A limited number and certain types of POs that will not be fulfilled by June 30, 2023 may be rolled over to the new fiscal year.  Unspent General Unrestricted budgets and certain Categorical funds from 2022-23 do not carry forward.</w:t>
            </w:r>
            <w:r w:rsidR="00FF244A">
              <w:rPr>
                <w:rFonts w:ascii="Gill Sans MT" w:hAnsi="Gill Sans MT"/>
                <w:b w:val="0"/>
                <w:bCs w:val="0"/>
                <w:sz w:val="22"/>
                <w:szCs w:val="22"/>
                <w:u w:val="none" w:color="C0504D"/>
              </w:rPr>
              <w:t xml:space="preserve">  </w:t>
            </w:r>
          </w:p>
          <w:p w14:paraId="71AE488E" w14:textId="713A93C1" w:rsidR="00FC2879" w:rsidRPr="002C78BF" w:rsidRDefault="00FF244A" w:rsidP="00FF244A">
            <w:pPr>
              <w:pStyle w:val="Title"/>
              <w:spacing w:after="120"/>
              <w:ind w:left="0"/>
              <w:rPr>
                <w:rFonts w:ascii="Gill Sans MT" w:hAnsi="Gill Sans MT"/>
                <w:b w:val="0"/>
                <w:bCs w:val="0"/>
                <w:sz w:val="22"/>
                <w:szCs w:val="22"/>
                <w:u w:val="none" w:color="C0504D"/>
              </w:rPr>
            </w:pPr>
            <w:r w:rsidRPr="00FF244A">
              <w:rPr>
                <w:rFonts w:ascii="Gill Sans MT" w:hAnsi="Gill Sans MT"/>
                <w:sz w:val="22"/>
                <w:szCs w:val="22"/>
                <w:u w:val="none" w:color="C0504D"/>
              </w:rPr>
              <w:t>Note that Open POs do not rollover from year to year.</w:t>
            </w:r>
          </w:p>
        </w:tc>
      </w:tr>
    </w:tbl>
    <w:p w14:paraId="261602DC" w14:textId="4C35530A" w:rsidR="007E7B67" w:rsidRPr="0051421B" w:rsidRDefault="007E7B67" w:rsidP="00EA415B">
      <w:pPr>
        <w:pStyle w:val="Title"/>
        <w:jc w:val="both"/>
        <w:rPr>
          <w:rFonts w:ascii="Gill Sans MT" w:hAnsi="Gill Sans MT"/>
          <w:b w:val="0"/>
          <w:bCs w:val="0"/>
          <w:sz w:val="10"/>
          <w:szCs w:val="10"/>
          <w:u w:val="none" w:color="C0504D"/>
        </w:rPr>
      </w:pPr>
      <w:r>
        <w:rPr>
          <w:rFonts w:ascii="Gill Sans MT" w:hAnsi="Gill Sans MT"/>
          <w:b w:val="0"/>
          <w:bCs w:val="0"/>
          <w:u w:val="none" w:color="C0504D"/>
        </w:rPr>
        <w:br w:type="page"/>
      </w:r>
    </w:p>
    <w:p w14:paraId="34BF935B" w14:textId="2F47ECE0" w:rsidR="00EA415B" w:rsidRPr="00A90F25" w:rsidRDefault="007E7B67" w:rsidP="00C96B58">
      <w:pPr>
        <w:pStyle w:val="Title"/>
        <w:pBdr>
          <w:top w:val="single" w:sz="4" w:space="1" w:color="auto"/>
          <w:bottom w:val="single" w:sz="4" w:space="1" w:color="auto"/>
        </w:pBdr>
        <w:spacing w:before="0"/>
        <w:jc w:val="center"/>
        <w:rPr>
          <w:rFonts w:ascii="Gill Sans MT" w:hAnsi="Gill Sans MT"/>
          <w:color w:val="3E4D1F"/>
          <w:sz w:val="36"/>
          <w:szCs w:val="36"/>
          <w:u w:val="none" w:color="C0504D"/>
        </w:rPr>
      </w:pPr>
      <w:r w:rsidRPr="00A90F25">
        <w:rPr>
          <w:rFonts w:ascii="Gill Sans MT" w:hAnsi="Gill Sans MT"/>
          <w:color w:val="3E4D1F"/>
          <w:sz w:val="36"/>
          <w:szCs w:val="36"/>
          <w:u w:val="none" w:color="C0504D"/>
        </w:rPr>
        <w:lastRenderedPageBreak/>
        <w:t>Fiscal Services</w:t>
      </w:r>
      <w:r w:rsidR="00294505" w:rsidRPr="00A90F25">
        <w:rPr>
          <w:rFonts w:ascii="Gill Sans MT" w:hAnsi="Gill Sans MT"/>
          <w:color w:val="3E4D1F"/>
          <w:sz w:val="36"/>
          <w:szCs w:val="36"/>
          <w:u w:val="none" w:color="C0504D"/>
        </w:rPr>
        <w:t>: Closing Schedule and Deadlines</w:t>
      </w:r>
    </w:p>
    <w:p w14:paraId="3E393F62" w14:textId="77777777" w:rsidR="00CF0F40" w:rsidRDefault="00CF0F40" w:rsidP="00EA415B">
      <w:pPr>
        <w:pStyle w:val="Title"/>
        <w:jc w:val="both"/>
        <w:rPr>
          <w:rFonts w:ascii="Gill Sans MT" w:hAnsi="Gill Sans MT"/>
          <w:b w:val="0"/>
          <w:bCs w:val="0"/>
          <w:u w:val="none" w:color="C0504D"/>
        </w:rPr>
      </w:pPr>
    </w:p>
    <w:tbl>
      <w:tblPr>
        <w:tblStyle w:val="TableGrid"/>
        <w:tblW w:w="0" w:type="auto"/>
        <w:tblInd w:w="140" w:type="dxa"/>
        <w:tblLook w:val="04A0" w:firstRow="1" w:lastRow="0" w:firstColumn="1" w:lastColumn="0" w:noHBand="0" w:noVBand="1"/>
      </w:tblPr>
      <w:tblGrid>
        <w:gridCol w:w="2015"/>
        <w:gridCol w:w="4860"/>
        <w:gridCol w:w="7375"/>
      </w:tblGrid>
      <w:tr w:rsidR="00CF0F40" w:rsidRPr="00C96B58" w14:paraId="61EBF602" w14:textId="77777777" w:rsidTr="00921506">
        <w:tc>
          <w:tcPr>
            <w:tcW w:w="2015" w:type="dxa"/>
            <w:shd w:val="clear" w:color="auto" w:fill="4F6228" w:themeFill="accent3" w:themeFillShade="80"/>
          </w:tcPr>
          <w:p w14:paraId="35415C42" w14:textId="77777777" w:rsidR="00CF0F40" w:rsidRPr="00C96B58" w:rsidRDefault="00CF0F40" w:rsidP="00E86FDC">
            <w:pPr>
              <w:pStyle w:val="Title"/>
              <w:spacing w:before="120" w:after="120"/>
              <w:ind w:left="0"/>
              <w:jc w:val="center"/>
              <w:rPr>
                <w:rFonts w:ascii="Gill Sans MT" w:hAnsi="Gill Sans MT"/>
                <w:smallCaps/>
                <w:color w:val="FFFFFF" w:themeColor="background1"/>
                <w:sz w:val="22"/>
                <w:szCs w:val="22"/>
                <w:u w:val="none" w:color="C0504D"/>
              </w:rPr>
            </w:pPr>
            <w:r w:rsidRPr="00C96B58">
              <w:rPr>
                <w:rFonts w:ascii="Gill Sans MT" w:hAnsi="Gill Sans MT"/>
                <w:smallCaps/>
                <w:color w:val="FFFFFF" w:themeColor="background1"/>
                <w:sz w:val="22"/>
                <w:szCs w:val="22"/>
                <w:u w:val="none" w:color="C0504D"/>
              </w:rPr>
              <w:t>Cut-off Date</w:t>
            </w:r>
          </w:p>
        </w:tc>
        <w:tc>
          <w:tcPr>
            <w:tcW w:w="4860" w:type="dxa"/>
            <w:shd w:val="clear" w:color="auto" w:fill="4F6228" w:themeFill="accent3" w:themeFillShade="80"/>
          </w:tcPr>
          <w:p w14:paraId="277D18A9" w14:textId="77777777" w:rsidR="00CF0F40" w:rsidRPr="00C96B58" w:rsidRDefault="00CF0F40" w:rsidP="00E86FDC">
            <w:pPr>
              <w:pStyle w:val="Title"/>
              <w:spacing w:before="120" w:after="120"/>
              <w:ind w:left="0"/>
              <w:jc w:val="center"/>
              <w:rPr>
                <w:rFonts w:ascii="Gill Sans MT" w:hAnsi="Gill Sans MT"/>
                <w:smallCaps/>
                <w:color w:val="FFFFFF" w:themeColor="background1"/>
                <w:sz w:val="22"/>
                <w:szCs w:val="22"/>
                <w:u w:val="none" w:color="C0504D"/>
              </w:rPr>
            </w:pPr>
            <w:r w:rsidRPr="00C96B58">
              <w:rPr>
                <w:rFonts w:ascii="Gill Sans MT" w:hAnsi="Gill Sans MT"/>
                <w:smallCaps/>
                <w:color w:val="FFFFFF" w:themeColor="background1"/>
                <w:sz w:val="22"/>
                <w:szCs w:val="22"/>
                <w:u w:val="none" w:color="C0504D"/>
              </w:rPr>
              <w:t>Description</w:t>
            </w:r>
          </w:p>
        </w:tc>
        <w:tc>
          <w:tcPr>
            <w:tcW w:w="7375" w:type="dxa"/>
            <w:shd w:val="clear" w:color="auto" w:fill="4F6228" w:themeFill="accent3" w:themeFillShade="80"/>
          </w:tcPr>
          <w:p w14:paraId="0527C638" w14:textId="77777777" w:rsidR="00CF0F40" w:rsidRPr="00C96B58" w:rsidRDefault="00CF0F40" w:rsidP="00E86FDC">
            <w:pPr>
              <w:pStyle w:val="Title"/>
              <w:spacing w:before="120" w:after="120"/>
              <w:ind w:left="0"/>
              <w:jc w:val="center"/>
              <w:rPr>
                <w:rFonts w:ascii="Gill Sans MT" w:hAnsi="Gill Sans MT"/>
                <w:smallCaps/>
                <w:color w:val="FFFFFF" w:themeColor="background1"/>
                <w:sz w:val="22"/>
                <w:szCs w:val="22"/>
                <w:u w:val="none" w:color="C0504D"/>
              </w:rPr>
            </w:pPr>
            <w:r w:rsidRPr="00C96B58">
              <w:rPr>
                <w:rFonts w:ascii="Gill Sans MT" w:hAnsi="Gill Sans MT"/>
                <w:smallCaps/>
                <w:color w:val="FFFFFF" w:themeColor="background1"/>
                <w:sz w:val="22"/>
                <w:szCs w:val="22"/>
                <w:u w:val="none" w:color="C0504D"/>
              </w:rPr>
              <w:t>Notes/Explanation</w:t>
            </w:r>
          </w:p>
        </w:tc>
      </w:tr>
      <w:tr w:rsidR="00882E74" w:rsidRPr="00C96B58" w14:paraId="650B0A48" w14:textId="77777777" w:rsidTr="00921506">
        <w:trPr>
          <w:trHeight w:val="1610"/>
        </w:trPr>
        <w:tc>
          <w:tcPr>
            <w:tcW w:w="2015" w:type="dxa"/>
          </w:tcPr>
          <w:p w14:paraId="34499640" w14:textId="4B43F99F" w:rsidR="00882E74" w:rsidRPr="00C96B58" w:rsidRDefault="00882E74" w:rsidP="00882E74">
            <w:pPr>
              <w:pStyle w:val="Title"/>
              <w:ind w:left="0"/>
              <w:rPr>
                <w:rFonts w:ascii="Gill Sans MT" w:hAnsi="Gill Sans MT"/>
                <w:sz w:val="22"/>
                <w:szCs w:val="22"/>
                <w:u w:val="none" w:color="C0504D"/>
              </w:rPr>
            </w:pPr>
            <w:r>
              <w:rPr>
                <w:rFonts w:ascii="Gill Sans MT" w:hAnsi="Gill Sans MT"/>
                <w:sz w:val="22"/>
                <w:szCs w:val="22"/>
                <w:u w:val="none" w:color="C0504D"/>
              </w:rPr>
              <w:t>M</w:t>
            </w:r>
            <w:r w:rsidRPr="00882E74">
              <w:rPr>
                <w:rFonts w:ascii="Gill Sans MT" w:hAnsi="Gill Sans MT"/>
                <w:sz w:val="22"/>
                <w:szCs w:val="22"/>
                <w:u w:val="none" w:color="C0504D"/>
              </w:rPr>
              <w:t>ay 10</w:t>
            </w:r>
            <w:r>
              <w:rPr>
                <w:rFonts w:ascii="Gill Sans MT" w:hAnsi="Gill Sans MT"/>
                <w:sz w:val="22"/>
                <w:szCs w:val="22"/>
                <w:u w:val="none" w:color="C0504D"/>
              </w:rPr>
              <w:t>, 2023</w:t>
            </w:r>
          </w:p>
        </w:tc>
        <w:tc>
          <w:tcPr>
            <w:tcW w:w="4860" w:type="dxa"/>
          </w:tcPr>
          <w:p w14:paraId="0615E1D5" w14:textId="09CC1438" w:rsidR="00882E74" w:rsidRPr="00C96B58" w:rsidRDefault="00882E74" w:rsidP="00882E74">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Facilities Work Requests</w:t>
            </w:r>
          </w:p>
        </w:tc>
        <w:tc>
          <w:tcPr>
            <w:tcW w:w="7375" w:type="dxa"/>
          </w:tcPr>
          <w:p w14:paraId="75305872" w14:textId="77777777" w:rsidR="00882E74" w:rsidRPr="002443A8" w:rsidRDefault="00882E74" w:rsidP="00882E74">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 xml:space="preserve">All Facilities work requests that are to be charged against the 2022-23 fiscal year must be received by the Facilities Department no later than </w:t>
            </w:r>
            <w:r w:rsidRPr="002443A8">
              <w:rPr>
                <w:rFonts w:ascii="Gill Sans MT" w:hAnsi="Gill Sans MT"/>
                <w:b w:val="0"/>
                <w:bCs w:val="0"/>
                <w:sz w:val="22"/>
                <w:szCs w:val="22"/>
                <w:u w:val="none" w:color="C0504D"/>
              </w:rPr>
              <w:t>the deadline indicated.</w:t>
            </w:r>
          </w:p>
          <w:p w14:paraId="10854DEC" w14:textId="5ABDFEC7" w:rsidR="00882E74" w:rsidRPr="00C96B58" w:rsidRDefault="00882E74" w:rsidP="00882E74">
            <w:pPr>
              <w:pStyle w:val="Title"/>
              <w:ind w:left="0"/>
              <w:jc w:val="both"/>
              <w:rPr>
                <w:rFonts w:ascii="Gill Sans MT" w:hAnsi="Gill Sans MT"/>
                <w:b w:val="0"/>
                <w:bCs w:val="0"/>
                <w:sz w:val="22"/>
                <w:szCs w:val="22"/>
                <w:u w:val="none" w:color="C0504D"/>
              </w:rPr>
            </w:pPr>
            <w:r w:rsidRPr="002443A8">
              <w:rPr>
                <w:rFonts w:ascii="Gill Sans MT" w:hAnsi="Gill Sans MT"/>
                <w:sz w:val="22"/>
                <w:szCs w:val="22"/>
                <w:u w:val="none" w:color="C0504D"/>
              </w:rPr>
              <w:t>Emergency requests</w:t>
            </w:r>
            <w:r w:rsidRPr="002443A8">
              <w:rPr>
                <w:rFonts w:ascii="Gill Sans MT" w:hAnsi="Gill Sans MT"/>
                <w:b w:val="0"/>
                <w:bCs w:val="0"/>
                <w:sz w:val="22"/>
                <w:szCs w:val="22"/>
                <w:u w:val="none" w:color="C0504D"/>
              </w:rPr>
              <w:t xml:space="preserve"> received after this date must have written justification and approval by the Vice President of Finance and Administrative Services.</w:t>
            </w:r>
          </w:p>
        </w:tc>
      </w:tr>
      <w:tr w:rsidR="00495886" w:rsidRPr="00C96B58" w14:paraId="401152E8" w14:textId="77777777" w:rsidTr="00921506">
        <w:trPr>
          <w:trHeight w:val="2690"/>
        </w:trPr>
        <w:tc>
          <w:tcPr>
            <w:tcW w:w="2015" w:type="dxa"/>
          </w:tcPr>
          <w:p w14:paraId="105A550C" w14:textId="229E979D" w:rsidR="00495886" w:rsidRDefault="00495886" w:rsidP="00495886">
            <w:pPr>
              <w:pStyle w:val="Title"/>
              <w:ind w:left="0"/>
              <w:rPr>
                <w:rFonts w:ascii="Gill Sans MT" w:hAnsi="Gill Sans MT"/>
                <w:sz w:val="22"/>
                <w:szCs w:val="22"/>
                <w:u w:val="none" w:color="C0504D"/>
              </w:rPr>
            </w:pPr>
            <w:r>
              <w:rPr>
                <w:rFonts w:ascii="Gill Sans MT" w:hAnsi="Gill Sans MT"/>
                <w:sz w:val="22"/>
                <w:szCs w:val="22"/>
                <w:u w:val="none" w:color="C0504D"/>
              </w:rPr>
              <w:t>M</w:t>
            </w:r>
            <w:r w:rsidRPr="00882E74">
              <w:rPr>
                <w:rFonts w:ascii="Gill Sans MT" w:hAnsi="Gill Sans MT"/>
                <w:sz w:val="22"/>
                <w:szCs w:val="22"/>
                <w:u w:val="none" w:color="C0504D"/>
              </w:rPr>
              <w:t>ay 10</w:t>
            </w:r>
            <w:r>
              <w:rPr>
                <w:rFonts w:ascii="Gill Sans MT" w:hAnsi="Gill Sans MT"/>
                <w:sz w:val="22"/>
                <w:szCs w:val="22"/>
                <w:u w:val="none" w:color="C0504D"/>
              </w:rPr>
              <w:t>, 2023</w:t>
            </w:r>
          </w:p>
        </w:tc>
        <w:tc>
          <w:tcPr>
            <w:tcW w:w="4860" w:type="dxa"/>
          </w:tcPr>
          <w:p w14:paraId="747D7570" w14:textId="392B25D9" w:rsidR="00495886" w:rsidRPr="00C96B58"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Grants and Categorical Funds</w:t>
            </w:r>
          </w:p>
        </w:tc>
        <w:tc>
          <w:tcPr>
            <w:tcW w:w="7375" w:type="dxa"/>
          </w:tcPr>
          <w:p w14:paraId="4757B812" w14:textId="77777777" w:rsidR="00495886"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Project managers must review their work plan in conjunction with expenditures posted in Budgets Overview.  If your grant is expiring on 6/30/23, initiate your purchases well in advance of the purchasing and fiscal deadlines.</w:t>
            </w:r>
          </w:p>
          <w:p w14:paraId="0B3D53E6" w14:textId="3EAC59F6" w:rsidR="00495886"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If a carry-forward budget is allowed by the funding agency or grant ending on September 30, 2023, Fiscal Services may use deferred revenue accounts for associated goods/services that are provided or delivered after 6/30/23.  Use a July 1, 2023 accounting date on requisitions for goods/services to be charged against carry-forward budgets.</w:t>
            </w:r>
          </w:p>
          <w:p w14:paraId="0C0F3FDA" w14:textId="4AC84B5D" w:rsidR="00495886" w:rsidRPr="00C96B58"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Contact Pai (</w:t>
            </w:r>
            <w:hyperlink r:id="rId6" w:history="1">
              <w:r w:rsidRPr="00FE4CC9">
                <w:rPr>
                  <w:rStyle w:val="Hyperlink"/>
                  <w:rFonts w:ascii="Gill Sans MT" w:hAnsi="Gill Sans MT"/>
                  <w:b w:val="0"/>
                  <w:bCs w:val="0"/>
                  <w:sz w:val="22"/>
                  <w:szCs w:val="22"/>
                </w:rPr>
                <w:t>pwang-Smith@palomar.edu</w:t>
              </w:r>
            </w:hyperlink>
            <w:r>
              <w:rPr>
                <w:rFonts w:ascii="Gill Sans MT" w:hAnsi="Gill Sans MT"/>
                <w:b w:val="0"/>
                <w:bCs w:val="0"/>
                <w:sz w:val="22"/>
                <w:szCs w:val="22"/>
                <w:u w:val="none" w:color="C0504D"/>
              </w:rPr>
              <w:t>) with questions.</w:t>
            </w:r>
          </w:p>
        </w:tc>
      </w:tr>
      <w:tr w:rsidR="00FE6C6D" w:rsidRPr="00C96B58" w14:paraId="07D9F5F9" w14:textId="77777777" w:rsidTr="00921506">
        <w:trPr>
          <w:trHeight w:val="1250"/>
        </w:trPr>
        <w:tc>
          <w:tcPr>
            <w:tcW w:w="2015" w:type="dxa"/>
          </w:tcPr>
          <w:p w14:paraId="73966B28" w14:textId="186C0549" w:rsidR="00FE6C6D" w:rsidRPr="00C96B58" w:rsidRDefault="00FE6C6D" w:rsidP="00FE6C6D">
            <w:pPr>
              <w:pStyle w:val="Title"/>
              <w:ind w:left="0"/>
              <w:rPr>
                <w:rFonts w:ascii="Gill Sans MT" w:hAnsi="Gill Sans MT"/>
                <w:sz w:val="22"/>
                <w:szCs w:val="22"/>
                <w:u w:val="none" w:color="C0504D"/>
              </w:rPr>
            </w:pPr>
            <w:r>
              <w:rPr>
                <w:rFonts w:ascii="Gill Sans MT" w:hAnsi="Gill Sans MT"/>
                <w:sz w:val="22"/>
                <w:szCs w:val="22"/>
                <w:u w:val="none" w:color="C0504D"/>
              </w:rPr>
              <w:t>June 30, 2023</w:t>
            </w:r>
          </w:p>
        </w:tc>
        <w:tc>
          <w:tcPr>
            <w:tcW w:w="4860" w:type="dxa"/>
          </w:tcPr>
          <w:p w14:paraId="6C99D929" w14:textId="031385B5" w:rsidR="00FE6C6D" w:rsidRPr="00C96B58" w:rsidRDefault="00FE6C6D" w:rsidP="00FE6C6D">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Checks/Cash Received</w:t>
            </w:r>
          </w:p>
        </w:tc>
        <w:tc>
          <w:tcPr>
            <w:tcW w:w="7375" w:type="dxa"/>
          </w:tcPr>
          <w:p w14:paraId="652CEF01" w14:textId="1EFD2F79" w:rsidR="00FE6C6D" w:rsidRPr="00C96B58" w:rsidRDefault="00FE6C6D" w:rsidP="00FE6C6D">
            <w:pPr>
              <w:pStyle w:val="Title"/>
              <w:ind w:left="0"/>
              <w:jc w:val="both"/>
              <w:rPr>
                <w:rFonts w:ascii="Gill Sans MT" w:hAnsi="Gill Sans MT"/>
                <w:b w:val="0"/>
                <w:bCs w:val="0"/>
                <w:sz w:val="22"/>
                <w:szCs w:val="22"/>
                <w:u w:val="none" w:color="C0504D"/>
              </w:rPr>
            </w:pPr>
            <w:r w:rsidRPr="007C15DB">
              <w:rPr>
                <w:rFonts w:ascii="Gill Sans MT" w:hAnsi="Gill Sans MT"/>
                <w:b w:val="0"/>
                <w:bCs w:val="0"/>
                <w:sz w:val="22"/>
                <w:szCs w:val="22"/>
                <w:u w:val="none"/>
              </w:rPr>
              <w:t>All cash/checks collected are to be deposited with the Cashier’s Office as soon as possible</w:t>
            </w:r>
            <w:r>
              <w:rPr>
                <w:rFonts w:ascii="Gill Sans MT" w:hAnsi="Gill Sans MT"/>
                <w:b w:val="0"/>
                <w:bCs w:val="0"/>
                <w:sz w:val="22"/>
                <w:szCs w:val="22"/>
                <w:u w:val="none"/>
              </w:rPr>
              <w:t xml:space="preserve"> – do </w:t>
            </w:r>
            <w:r w:rsidRPr="007C15DB">
              <w:rPr>
                <w:rFonts w:ascii="Gill Sans MT" w:hAnsi="Gill Sans MT"/>
                <w:b w:val="0"/>
                <w:bCs w:val="0"/>
                <w:sz w:val="22"/>
                <w:szCs w:val="22"/>
                <w:u w:val="none"/>
              </w:rPr>
              <w:t>not hold funds received prior to June 30 for deposit in the following fiscal year. Departmental collections must be delivered to the Cashier’s Office by June 30th, at 12:00</w:t>
            </w:r>
            <w:r>
              <w:rPr>
                <w:rFonts w:ascii="Gill Sans MT" w:hAnsi="Gill Sans MT"/>
                <w:b w:val="0"/>
                <w:bCs w:val="0"/>
                <w:sz w:val="22"/>
                <w:szCs w:val="22"/>
                <w:u w:val="none"/>
              </w:rPr>
              <w:t xml:space="preserve"> pm</w:t>
            </w:r>
            <w:r w:rsidRPr="007C15DB">
              <w:rPr>
                <w:rFonts w:ascii="Gill Sans MT" w:hAnsi="Gill Sans MT"/>
                <w:b w:val="0"/>
                <w:bCs w:val="0"/>
                <w:sz w:val="22"/>
                <w:szCs w:val="22"/>
                <w:u w:val="none"/>
              </w:rPr>
              <w:t xml:space="preserve">. To plan to deliver a deposit to the Cashier’s Office, please contact Cassandra Stone at </w:t>
            </w:r>
            <w:r w:rsidRPr="00882E74">
              <w:rPr>
                <w:rStyle w:val="Hyperlink"/>
                <w:rFonts w:ascii="Gill Sans MT" w:hAnsi="Gill Sans MT"/>
                <w:b w:val="0"/>
                <w:bCs w:val="0"/>
                <w:sz w:val="22"/>
                <w:szCs w:val="22"/>
              </w:rPr>
              <w:t>cstone@palomar.edu</w:t>
            </w:r>
            <w:r w:rsidRPr="007C15DB">
              <w:rPr>
                <w:rFonts w:ascii="Gill Sans MT" w:hAnsi="Gill Sans MT"/>
                <w:b w:val="0"/>
                <w:bCs w:val="0"/>
                <w:sz w:val="22"/>
                <w:szCs w:val="22"/>
                <w:u w:val="none"/>
              </w:rPr>
              <w:t>.</w:t>
            </w:r>
          </w:p>
        </w:tc>
      </w:tr>
      <w:tr w:rsidR="00FE6C6D" w:rsidRPr="00C96B58" w14:paraId="70B0858A" w14:textId="77777777" w:rsidTr="00921506">
        <w:trPr>
          <w:trHeight w:val="1430"/>
        </w:trPr>
        <w:tc>
          <w:tcPr>
            <w:tcW w:w="2015" w:type="dxa"/>
          </w:tcPr>
          <w:p w14:paraId="3EE9ED9B" w14:textId="5A9CB0CD" w:rsidR="00FE6C6D" w:rsidRPr="00C96B58" w:rsidRDefault="00FE6C6D" w:rsidP="00FE6C6D">
            <w:pPr>
              <w:pStyle w:val="Title"/>
              <w:ind w:left="0"/>
              <w:rPr>
                <w:rFonts w:ascii="Gill Sans MT" w:hAnsi="Gill Sans MT"/>
                <w:sz w:val="22"/>
                <w:szCs w:val="22"/>
                <w:u w:val="none" w:color="C0504D"/>
              </w:rPr>
            </w:pPr>
            <w:r>
              <w:rPr>
                <w:rFonts w:ascii="Gill Sans MT" w:hAnsi="Gill Sans MT"/>
                <w:sz w:val="22"/>
                <w:szCs w:val="22"/>
                <w:u w:val="none" w:color="C0504D"/>
              </w:rPr>
              <w:t>June 30, 2023</w:t>
            </w:r>
          </w:p>
        </w:tc>
        <w:tc>
          <w:tcPr>
            <w:tcW w:w="4860" w:type="dxa"/>
          </w:tcPr>
          <w:p w14:paraId="2F4D341E" w14:textId="14278D65" w:rsidR="00FE6C6D" w:rsidRPr="00C96B58" w:rsidRDefault="00FE6C6D" w:rsidP="00FE6C6D">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 xml:space="preserve">Budget Adjustments </w:t>
            </w:r>
          </w:p>
        </w:tc>
        <w:tc>
          <w:tcPr>
            <w:tcW w:w="7375" w:type="dxa"/>
          </w:tcPr>
          <w:p w14:paraId="3FD53073" w14:textId="4E45FFDD" w:rsidR="00FE6C6D" w:rsidRPr="0054403F" w:rsidRDefault="00FE6C6D" w:rsidP="00FE6C6D">
            <w:pPr>
              <w:pStyle w:val="Title"/>
              <w:ind w:left="0"/>
              <w:jc w:val="both"/>
              <w:rPr>
                <w:rFonts w:ascii="Gill Sans MT" w:hAnsi="Gill Sans MT"/>
                <w:b w:val="0"/>
                <w:bCs w:val="0"/>
                <w:sz w:val="22"/>
                <w:szCs w:val="22"/>
                <w:u w:val="none"/>
              </w:rPr>
            </w:pPr>
            <w:r>
              <w:rPr>
                <w:rFonts w:ascii="Gill Sans MT" w:hAnsi="Gill Sans MT"/>
                <w:b w:val="0"/>
                <w:bCs w:val="0"/>
                <w:sz w:val="22"/>
                <w:szCs w:val="22"/>
                <w:u w:val="none" w:color="C0504D"/>
              </w:rPr>
              <w:t>The Budget Office will discontinue accepting budget adjustments or transfers for 2022-23 as of the deadline.  Contact Brandi Taveuveu (</w:t>
            </w:r>
            <w:hyperlink r:id="rId7" w:history="1">
              <w:r w:rsidRPr="00FE4CC9">
                <w:rPr>
                  <w:rStyle w:val="Hyperlink"/>
                  <w:rFonts w:ascii="Gill Sans MT" w:hAnsi="Gill Sans MT"/>
                  <w:b w:val="0"/>
                  <w:bCs w:val="0"/>
                  <w:sz w:val="22"/>
                  <w:szCs w:val="22"/>
                </w:rPr>
                <w:t>btaveuveu@palomar.edu</w:t>
              </w:r>
            </w:hyperlink>
            <w:r>
              <w:rPr>
                <w:rFonts w:ascii="Gill Sans MT" w:hAnsi="Gill Sans MT"/>
                <w:b w:val="0"/>
                <w:bCs w:val="0"/>
                <w:sz w:val="22"/>
                <w:szCs w:val="22"/>
                <w:u w:val="none" w:color="C0504D"/>
              </w:rPr>
              <w:t>) for questions about Budget Adjustments.</w:t>
            </w:r>
          </w:p>
        </w:tc>
      </w:tr>
      <w:tr w:rsidR="00FE6C6D" w:rsidRPr="00C96B58" w14:paraId="7FD3C8DB" w14:textId="77777777" w:rsidTr="00921506">
        <w:trPr>
          <w:trHeight w:val="980"/>
        </w:trPr>
        <w:tc>
          <w:tcPr>
            <w:tcW w:w="2015" w:type="dxa"/>
          </w:tcPr>
          <w:p w14:paraId="5329B400" w14:textId="3070F070" w:rsidR="00FE6C6D" w:rsidRDefault="00FE6C6D" w:rsidP="00FE6C6D">
            <w:pPr>
              <w:pStyle w:val="Title"/>
              <w:ind w:left="0"/>
              <w:rPr>
                <w:rFonts w:ascii="Gill Sans MT" w:hAnsi="Gill Sans MT"/>
                <w:sz w:val="22"/>
                <w:szCs w:val="22"/>
                <w:u w:val="none" w:color="C0504D"/>
              </w:rPr>
            </w:pPr>
            <w:r>
              <w:rPr>
                <w:rFonts w:ascii="Gill Sans MT" w:hAnsi="Gill Sans MT"/>
                <w:sz w:val="22"/>
                <w:szCs w:val="22"/>
                <w:u w:val="none" w:color="C0504D"/>
              </w:rPr>
              <w:t>July 3</w:t>
            </w:r>
            <w:r w:rsidRPr="00C96B58">
              <w:rPr>
                <w:rFonts w:ascii="Gill Sans MT" w:hAnsi="Gill Sans MT"/>
                <w:sz w:val="22"/>
                <w:szCs w:val="22"/>
                <w:u w:val="none" w:color="C0504D"/>
              </w:rPr>
              <w:t>, 2023</w:t>
            </w:r>
          </w:p>
        </w:tc>
        <w:tc>
          <w:tcPr>
            <w:tcW w:w="4860" w:type="dxa"/>
          </w:tcPr>
          <w:p w14:paraId="01EB4543" w14:textId="5185FC7A" w:rsidR="00FE6C6D" w:rsidRPr="00C96B58" w:rsidRDefault="00FE6C6D" w:rsidP="00FE6C6D">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Payroll: Hourly timesheets</w:t>
            </w:r>
          </w:p>
        </w:tc>
        <w:tc>
          <w:tcPr>
            <w:tcW w:w="7375" w:type="dxa"/>
          </w:tcPr>
          <w:p w14:paraId="39CCC5FA" w14:textId="07BE14C6" w:rsidR="00FE6C6D" w:rsidRPr="00C96B58" w:rsidRDefault="00FE6C6D" w:rsidP="00FE6C6D">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 xml:space="preserve">All hourly timesheets, overtime, extra </w:t>
            </w:r>
            <w:proofErr w:type="gramStart"/>
            <w:r>
              <w:rPr>
                <w:rFonts w:ascii="Gill Sans MT" w:hAnsi="Gill Sans MT"/>
                <w:b w:val="0"/>
                <w:bCs w:val="0"/>
                <w:sz w:val="22"/>
                <w:szCs w:val="22"/>
                <w:u w:val="none" w:color="C0504D"/>
              </w:rPr>
              <w:t>hours</w:t>
            </w:r>
            <w:proofErr w:type="gramEnd"/>
            <w:r>
              <w:rPr>
                <w:rFonts w:ascii="Gill Sans MT" w:hAnsi="Gill Sans MT"/>
                <w:b w:val="0"/>
                <w:bCs w:val="0"/>
                <w:sz w:val="22"/>
                <w:szCs w:val="22"/>
                <w:u w:val="none" w:color="C0504D"/>
              </w:rPr>
              <w:t xml:space="preserve"> and absence reports through 6/30/2023 are due to Payroll by the deadline. </w:t>
            </w:r>
          </w:p>
        </w:tc>
      </w:tr>
      <w:tr w:rsidR="00FE6C6D" w:rsidRPr="00C96B58" w14:paraId="6D914DFE" w14:textId="77777777" w:rsidTr="00921506">
        <w:trPr>
          <w:trHeight w:val="800"/>
        </w:trPr>
        <w:tc>
          <w:tcPr>
            <w:tcW w:w="2015" w:type="dxa"/>
          </w:tcPr>
          <w:p w14:paraId="1AB85CB5" w14:textId="5C79C8DA" w:rsidR="00FE6C6D" w:rsidRDefault="00FE6C6D" w:rsidP="00FE6C6D">
            <w:pPr>
              <w:pStyle w:val="Title"/>
              <w:ind w:left="0"/>
              <w:rPr>
                <w:rFonts w:ascii="Gill Sans MT" w:hAnsi="Gill Sans MT"/>
                <w:sz w:val="22"/>
                <w:szCs w:val="22"/>
                <w:u w:val="none" w:color="C0504D"/>
              </w:rPr>
            </w:pPr>
            <w:r>
              <w:rPr>
                <w:rFonts w:ascii="Gill Sans MT" w:hAnsi="Gill Sans MT"/>
                <w:sz w:val="22"/>
                <w:szCs w:val="22"/>
                <w:u w:val="none" w:color="C0504D"/>
              </w:rPr>
              <w:t>July 7</w:t>
            </w:r>
            <w:r w:rsidRPr="00C96B58">
              <w:rPr>
                <w:rFonts w:ascii="Gill Sans MT" w:hAnsi="Gill Sans MT"/>
                <w:sz w:val="22"/>
                <w:szCs w:val="22"/>
                <w:u w:val="none" w:color="C0504D"/>
              </w:rPr>
              <w:t>, 2023</w:t>
            </w:r>
          </w:p>
        </w:tc>
        <w:tc>
          <w:tcPr>
            <w:tcW w:w="4860" w:type="dxa"/>
          </w:tcPr>
          <w:p w14:paraId="2DC9400E" w14:textId="7B9541AB" w:rsidR="00FE6C6D" w:rsidRPr="00C96B58" w:rsidRDefault="00FE6C6D" w:rsidP="00FE6C6D">
            <w:pPr>
              <w:pStyle w:val="Title"/>
              <w:ind w:left="0"/>
              <w:jc w:val="both"/>
              <w:rPr>
                <w:rFonts w:ascii="Gill Sans MT" w:hAnsi="Gill Sans MT"/>
                <w:b w:val="0"/>
                <w:bCs w:val="0"/>
                <w:sz w:val="22"/>
                <w:szCs w:val="22"/>
                <w:u w:val="none" w:color="C0504D"/>
              </w:rPr>
            </w:pPr>
            <w:r w:rsidRPr="00C96B58">
              <w:rPr>
                <w:rFonts w:ascii="Gill Sans MT" w:hAnsi="Gill Sans MT"/>
                <w:b w:val="0"/>
                <w:bCs w:val="0"/>
                <w:sz w:val="22"/>
                <w:szCs w:val="22"/>
                <w:u w:val="none" w:color="C0504D"/>
              </w:rPr>
              <w:t>CalCard Reconciliation Statements</w:t>
            </w:r>
          </w:p>
        </w:tc>
        <w:tc>
          <w:tcPr>
            <w:tcW w:w="7375" w:type="dxa"/>
          </w:tcPr>
          <w:p w14:paraId="1CAB2AAF" w14:textId="694E2AA8" w:rsidR="00FE6C6D" w:rsidRPr="00C96B58" w:rsidRDefault="00FE6C6D" w:rsidP="00FE6C6D">
            <w:pPr>
              <w:pStyle w:val="Title"/>
              <w:ind w:left="0"/>
              <w:jc w:val="both"/>
              <w:rPr>
                <w:rFonts w:ascii="Gill Sans MT" w:hAnsi="Gill Sans MT"/>
                <w:b w:val="0"/>
                <w:bCs w:val="0"/>
                <w:sz w:val="22"/>
                <w:szCs w:val="22"/>
                <w:u w:val="none" w:color="C0504D"/>
              </w:rPr>
            </w:pPr>
            <w:r w:rsidRPr="00C96B58">
              <w:rPr>
                <w:rFonts w:ascii="Gill Sans MT" w:hAnsi="Gill Sans MT"/>
                <w:b w:val="0"/>
                <w:bCs w:val="0"/>
                <w:sz w:val="22"/>
                <w:szCs w:val="22"/>
                <w:u w:val="none" w:color="C0504D"/>
              </w:rPr>
              <w:t>Please contact Osmara Cobian (</w:t>
            </w:r>
            <w:hyperlink r:id="rId8" w:history="1">
              <w:r w:rsidRPr="00FE4CC9">
                <w:rPr>
                  <w:rStyle w:val="Hyperlink"/>
                  <w:rFonts w:ascii="Gill Sans MT" w:hAnsi="Gill Sans MT"/>
                  <w:b w:val="0"/>
                  <w:bCs w:val="0"/>
                  <w:sz w:val="22"/>
                  <w:szCs w:val="22"/>
                </w:rPr>
                <w:t>ocobian@palomar.edu</w:t>
              </w:r>
            </w:hyperlink>
            <w:r w:rsidRPr="00C96B58">
              <w:rPr>
                <w:rFonts w:ascii="Gill Sans MT" w:hAnsi="Gill Sans MT"/>
                <w:b w:val="0"/>
                <w:bCs w:val="0"/>
                <w:sz w:val="22"/>
                <w:szCs w:val="22"/>
                <w:u w:val="none" w:color="C0504D"/>
              </w:rPr>
              <w:t>) with any questions.</w:t>
            </w:r>
          </w:p>
        </w:tc>
      </w:tr>
    </w:tbl>
    <w:p w14:paraId="44836E27" w14:textId="01259F2B" w:rsidR="007922A2" w:rsidRDefault="007922A2"/>
    <w:p w14:paraId="1B57F5A9" w14:textId="77777777" w:rsidR="007922A2" w:rsidRDefault="007922A2"/>
    <w:tbl>
      <w:tblPr>
        <w:tblStyle w:val="TableGrid"/>
        <w:tblW w:w="0" w:type="auto"/>
        <w:tblInd w:w="140" w:type="dxa"/>
        <w:tblLook w:val="04A0" w:firstRow="1" w:lastRow="0" w:firstColumn="1" w:lastColumn="0" w:noHBand="0" w:noVBand="1"/>
      </w:tblPr>
      <w:tblGrid>
        <w:gridCol w:w="2015"/>
        <w:gridCol w:w="4860"/>
        <w:gridCol w:w="7375"/>
      </w:tblGrid>
      <w:tr w:rsidR="00495886" w:rsidRPr="00C96B58" w14:paraId="1A5B882A" w14:textId="77777777" w:rsidTr="00A809B9">
        <w:tc>
          <w:tcPr>
            <w:tcW w:w="2015" w:type="dxa"/>
            <w:shd w:val="clear" w:color="auto" w:fill="4F6228" w:themeFill="accent3" w:themeFillShade="80"/>
          </w:tcPr>
          <w:p w14:paraId="0DF6A855" w14:textId="10410D80" w:rsidR="00495886" w:rsidRPr="00C96B58" w:rsidRDefault="00495886" w:rsidP="00495886">
            <w:pPr>
              <w:pStyle w:val="Title"/>
              <w:spacing w:before="120" w:after="120"/>
              <w:ind w:left="0"/>
              <w:jc w:val="center"/>
              <w:rPr>
                <w:rFonts w:ascii="Gill Sans MT" w:hAnsi="Gill Sans MT"/>
                <w:smallCaps/>
                <w:color w:val="FFFFFF" w:themeColor="background1"/>
                <w:sz w:val="22"/>
                <w:szCs w:val="22"/>
                <w:u w:val="none" w:color="C0504D"/>
              </w:rPr>
            </w:pPr>
            <w:r w:rsidRPr="00C96B58">
              <w:rPr>
                <w:rFonts w:ascii="Gill Sans MT" w:hAnsi="Gill Sans MT"/>
                <w:smallCaps/>
                <w:color w:val="FFFFFF" w:themeColor="background1"/>
                <w:sz w:val="22"/>
                <w:szCs w:val="22"/>
                <w:u w:val="none" w:color="C0504D"/>
              </w:rPr>
              <w:lastRenderedPageBreak/>
              <w:t>Cut-off Date</w:t>
            </w:r>
          </w:p>
        </w:tc>
        <w:tc>
          <w:tcPr>
            <w:tcW w:w="4860" w:type="dxa"/>
            <w:shd w:val="clear" w:color="auto" w:fill="4F6228" w:themeFill="accent3" w:themeFillShade="80"/>
          </w:tcPr>
          <w:p w14:paraId="4AA46CD1" w14:textId="2AAF9BCD" w:rsidR="00495886" w:rsidRPr="00C96B58" w:rsidRDefault="00495886" w:rsidP="00495886">
            <w:pPr>
              <w:pStyle w:val="Title"/>
              <w:spacing w:before="120" w:after="120"/>
              <w:ind w:left="0"/>
              <w:jc w:val="center"/>
              <w:rPr>
                <w:rFonts w:ascii="Gill Sans MT" w:hAnsi="Gill Sans MT"/>
                <w:smallCaps/>
                <w:color w:val="FFFFFF" w:themeColor="background1"/>
                <w:sz w:val="22"/>
                <w:szCs w:val="22"/>
                <w:u w:val="none" w:color="C0504D"/>
              </w:rPr>
            </w:pPr>
            <w:r w:rsidRPr="00C96B58">
              <w:rPr>
                <w:rFonts w:ascii="Gill Sans MT" w:hAnsi="Gill Sans MT"/>
                <w:smallCaps/>
                <w:color w:val="FFFFFF" w:themeColor="background1"/>
                <w:sz w:val="22"/>
                <w:szCs w:val="22"/>
                <w:u w:val="none" w:color="C0504D"/>
              </w:rPr>
              <w:t>Description</w:t>
            </w:r>
          </w:p>
        </w:tc>
        <w:tc>
          <w:tcPr>
            <w:tcW w:w="7375" w:type="dxa"/>
            <w:shd w:val="clear" w:color="auto" w:fill="4F6228" w:themeFill="accent3" w:themeFillShade="80"/>
          </w:tcPr>
          <w:p w14:paraId="20EF60A6" w14:textId="2DF8D912" w:rsidR="00495886" w:rsidRPr="00C96B58" w:rsidRDefault="00495886" w:rsidP="00495886">
            <w:pPr>
              <w:pStyle w:val="Title"/>
              <w:spacing w:before="120" w:after="120"/>
              <w:ind w:left="0"/>
              <w:jc w:val="center"/>
              <w:rPr>
                <w:rFonts w:ascii="Gill Sans MT" w:hAnsi="Gill Sans MT"/>
                <w:smallCaps/>
                <w:color w:val="FFFFFF" w:themeColor="background1"/>
                <w:sz w:val="22"/>
                <w:szCs w:val="22"/>
                <w:u w:val="none" w:color="C0504D"/>
              </w:rPr>
            </w:pPr>
            <w:r w:rsidRPr="00C96B58">
              <w:rPr>
                <w:rFonts w:ascii="Gill Sans MT" w:hAnsi="Gill Sans MT"/>
                <w:smallCaps/>
                <w:color w:val="FFFFFF" w:themeColor="background1"/>
                <w:sz w:val="22"/>
                <w:szCs w:val="22"/>
                <w:u w:val="none" w:color="C0504D"/>
              </w:rPr>
              <w:t>Notes/Explanation</w:t>
            </w:r>
          </w:p>
        </w:tc>
      </w:tr>
      <w:tr w:rsidR="00495886" w:rsidRPr="00C96B58" w14:paraId="40E242CC" w14:textId="77777777" w:rsidTr="00921506">
        <w:trPr>
          <w:trHeight w:val="728"/>
        </w:trPr>
        <w:tc>
          <w:tcPr>
            <w:tcW w:w="2015" w:type="dxa"/>
          </w:tcPr>
          <w:p w14:paraId="7FD8836F" w14:textId="539B58C9" w:rsidR="00495886" w:rsidRDefault="00495886" w:rsidP="00495886">
            <w:pPr>
              <w:pStyle w:val="Title"/>
              <w:ind w:left="0"/>
              <w:rPr>
                <w:rFonts w:ascii="Gill Sans MT" w:hAnsi="Gill Sans MT"/>
                <w:sz w:val="22"/>
                <w:szCs w:val="22"/>
                <w:u w:val="none" w:color="C0504D"/>
              </w:rPr>
            </w:pPr>
            <w:r>
              <w:rPr>
                <w:rFonts w:ascii="Gill Sans MT" w:hAnsi="Gill Sans MT"/>
                <w:sz w:val="22"/>
                <w:szCs w:val="22"/>
                <w:u w:val="none" w:color="C0504D"/>
              </w:rPr>
              <w:t>J</w:t>
            </w:r>
            <w:r w:rsidRPr="007C15DB">
              <w:rPr>
                <w:rFonts w:ascii="Gill Sans MT" w:hAnsi="Gill Sans MT"/>
                <w:sz w:val="22"/>
                <w:szCs w:val="22"/>
                <w:u w:val="none" w:color="C0504D"/>
              </w:rPr>
              <w:t>uly 14</w:t>
            </w:r>
            <w:r w:rsidRPr="00C96B58">
              <w:rPr>
                <w:rFonts w:ascii="Gill Sans MT" w:hAnsi="Gill Sans MT"/>
                <w:sz w:val="22"/>
                <w:szCs w:val="22"/>
                <w:u w:val="none" w:color="C0504D"/>
              </w:rPr>
              <w:t>, 2023</w:t>
            </w:r>
          </w:p>
        </w:tc>
        <w:tc>
          <w:tcPr>
            <w:tcW w:w="4860" w:type="dxa"/>
          </w:tcPr>
          <w:p w14:paraId="3037290B" w14:textId="5BA32A63" w:rsidR="00495886"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Employee Mileage Reimbursements</w:t>
            </w:r>
          </w:p>
        </w:tc>
        <w:tc>
          <w:tcPr>
            <w:tcW w:w="7375" w:type="dxa"/>
          </w:tcPr>
          <w:p w14:paraId="4F2E5E3E" w14:textId="005EF223" w:rsidR="00E93680" w:rsidRDefault="00495886" w:rsidP="0092150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Claims for mileage incurred during the 2022-23 Fiscal Year must be received in Accounts Payable no later than the deadline.</w:t>
            </w:r>
          </w:p>
        </w:tc>
      </w:tr>
      <w:tr w:rsidR="00495886" w:rsidRPr="00C96B58" w14:paraId="4669BF56" w14:textId="77777777" w:rsidTr="00921506">
        <w:trPr>
          <w:trHeight w:val="1673"/>
        </w:trPr>
        <w:tc>
          <w:tcPr>
            <w:tcW w:w="2015" w:type="dxa"/>
          </w:tcPr>
          <w:p w14:paraId="458E6BD9" w14:textId="61DE1F68" w:rsidR="00495886" w:rsidRDefault="00495886" w:rsidP="00495886">
            <w:pPr>
              <w:pStyle w:val="Title"/>
              <w:ind w:left="0"/>
              <w:rPr>
                <w:rFonts w:ascii="Gill Sans MT" w:hAnsi="Gill Sans MT"/>
                <w:sz w:val="22"/>
                <w:szCs w:val="22"/>
                <w:u w:val="none" w:color="C0504D"/>
              </w:rPr>
            </w:pPr>
            <w:r>
              <w:rPr>
                <w:rFonts w:ascii="Gill Sans MT" w:hAnsi="Gill Sans MT"/>
                <w:sz w:val="22"/>
                <w:szCs w:val="22"/>
                <w:u w:val="none" w:color="C0504D"/>
              </w:rPr>
              <w:t>J</w:t>
            </w:r>
            <w:r w:rsidRPr="007C15DB">
              <w:rPr>
                <w:rFonts w:ascii="Gill Sans MT" w:hAnsi="Gill Sans MT"/>
                <w:sz w:val="22"/>
                <w:szCs w:val="22"/>
                <w:u w:val="none" w:color="C0504D"/>
              </w:rPr>
              <w:t>uly 14</w:t>
            </w:r>
            <w:r w:rsidRPr="00C96B58">
              <w:rPr>
                <w:rFonts w:ascii="Gill Sans MT" w:hAnsi="Gill Sans MT"/>
                <w:sz w:val="22"/>
                <w:szCs w:val="22"/>
                <w:u w:val="none" w:color="C0504D"/>
              </w:rPr>
              <w:t>, 2023</w:t>
            </w:r>
          </w:p>
        </w:tc>
        <w:tc>
          <w:tcPr>
            <w:tcW w:w="4860" w:type="dxa"/>
          </w:tcPr>
          <w:p w14:paraId="03CC4F35" w14:textId="2167B878" w:rsidR="00495886" w:rsidRDefault="00495886" w:rsidP="00495886">
            <w:pPr>
              <w:pStyle w:val="Title"/>
              <w:ind w:left="0"/>
              <w:jc w:val="both"/>
              <w:rPr>
                <w:rFonts w:ascii="Gill Sans MT" w:hAnsi="Gill Sans MT"/>
                <w:b w:val="0"/>
                <w:bCs w:val="0"/>
                <w:sz w:val="22"/>
                <w:szCs w:val="22"/>
                <w:u w:val="none" w:color="C0504D"/>
              </w:rPr>
            </w:pPr>
            <w:r w:rsidRPr="00C96B58">
              <w:rPr>
                <w:rFonts w:ascii="Gill Sans MT" w:hAnsi="Gill Sans MT"/>
                <w:b w:val="0"/>
                <w:bCs w:val="0"/>
                <w:sz w:val="22"/>
                <w:szCs w:val="22"/>
                <w:u w:val="none" w:color="C0504D"/>
              </w:rPr>
              <w:t>Pay Vouchers/Payment Requests</w:t>
            </w:r>
          </w:p>
        </w:tc>
        <w:tc>
          <w:tcPr>
            <w:tcW w:w="7375" w:type="dxa"/>
          </w:tcPr>
          <w:p w14:paraId="231C8559" w14:textId="224E82FF" w:rsidR="00495886" w:rsidRDefault="00495886" w:rsidP="00495886">
            <w:pPr>
              <w:pStyle w:val="Title"/>
              <w:ind w:left="0"/>
              <w:jc w:val="both"/>
              <w:rPr>
                <w:rFonts w:ascii="Gill Sans MT" w:hAnsi="Gill Sans MT"/>
                <w:b w:val="0"/>
                <w:bCs w:val="0"/>
                <w:sz w:val="22"/>
                <w:szCs w:val="22"/>
                <w:u w:val="none" w:color="C0504D"/>
              </w:rPr>
            </w:pPr>
            <w:r w:rsidRPr="00C96B58">
              <w:rPr>
                <w:rFonts w:ascii="Gill Sans MT" w:hAnsi="Gill Sans MT"/>
                <w:b w:val="0"/>
                <w:bCs w:val="0"/>
                <w:sz w:val="22"/>
                <w:szCs w:val="22"/>
                <w:u w:val="none" w:color="C0504D"/>
              </w:rPr>
              <w:t>Non-PO pay vouchers for</w:t>
            </w:r>
            <w:r>
              <w:rPr>
                <w:rFonts w:ascii="Gill Sans MT" w:hAnsi="Gill Sans MT"/>
                <w:b w:val="0"/>
                <w:bCs w:val="0"/>
                <w:sz w:val="22"/>
                <w:szCs w:val="22"/>
                <w:u w:val="none" w:color="C0504D"/>
              </w:rPr>
              <w:t xml:space="preserve"> the</w:t>
            </w:r>
            <w:r w:rsidRPr="00C96B58">
              <w:rPr>
                <w:rFonts w:ascii="Gill Sans MT" w:hAnsi="Gill Sans MT"/>
                <w:b w:val="0"/>
                <w:bCs w:val="0"/>
                <w:sz w:val="22"/>
                <w:szCs w:val="22"/>
                <w:u w:val="none" w:color="C0504D"/>
              </w:rPr>
              <w:t xml:space="preserve"> 2022-23 </w:t>
            </w:r>
            <w:r>
              <w:rPr>
                <w:rFonts w:ascii="Gill Sans MT" w:hAnsi="Gill Sans MT"/>
                <w:b w:val="0"/>
                <w:bCs w:val="0"/>
                <w:sz w:val="22"/>
                <w:szCs w:val="22"/>
                <w:u w:val="none" w:color="C0504D"/>
              </w:rPr>
              <w:t xml:space="preserve">Fiscal Year </w:t>
            </w:r>
            <w:r w:rsidRPr="00C96B58">
              <w:rPr>
                <w:rFonts w:ascii="Gill Sans MT" w:hAnsi="Gill Sans MT"/>
                <w:b w:val="0"/>
                <w:bCs w:val="0"/>
                <w:sz w:val="22"/>
                <w:szCs w:val="22"/>
                <w:u w:val="none" w:color="C0504D"/>
              </w:rPr>
              <w:t xml:space="preserve">must be received in Accounts Payable no later than 12:00 pm on </w:t>
            </w:r>
            <w:r>
              <w:rPr>
                <w:rFonts w:ascii="Gill Sans MT" w:hAnsi="Gill Sans MT"/>
                <w:b w:val="0"/>
                <w:bCs w:val="0"/>
                <w:sz w:val="22"/>
                <w:szCs w:val="22"/>
                <w:u w:val="none" w:color="C0504D"/>
              </w:rPr>
              <w:t>J</w:t>
            </w:r>
            <w:r w:rsidRPr="007C15DB">
              <w:rPr>
                <w:rFonts w:ascii="Gill Sans MT" w:hAnsi="Gill Sans MT"/>
                <w:b w:val="0"/>
                <w:bCs w:val="0"/>
                <w:sz w:val="22"/>
                <w:szCs w:val="22"/>
                <w:u w:val="none" w:color="C0504D"/>
              </w:rPr>
              <w:t>uly 14</w:t>
            </w:r>
            <w:r w:rsidRPr="00C96B58">
              <w:rPr>
                <w:rFonts w:ascii="Gill Sans MT" w:hAnsi="Gill Sans MT"/>
                <w:b w:val="0"/>
                <w:bCs w:val="0"/>
                <w:sz w:val="22"/>
                <w:szCs w:val="22"/>
                <w:u w:val="none" w:color="C0504D"/>
              </w:rPr>
              <w:t xml:space="preserve">, 2023.  </w:t>
            </w:r>
          </w:p>
          <w:p w14:paraId="500762E5" w14:textId="18347230" w:rsidR="00495886" w:rsidRDefault="00495886" w:rsidP="00495886">
            <w:pPr>
              <w:pStyle w:val="Title"/>
              <w:ind w:left="0"/>
              <w:jc w:val="both"/>
              <w:rPr>
                <w:rFonts w:ascii="Gill Sans MT" w:hAnsi="Gill Sans MT"/>
                <w:b w:val="0"/>
                <w:bCs w:val="0"/>
                <w:sz w:val="22"/>
                <w:szCs w:val="22"/>
                <w:u w:val="none" w:color="C0504D"/>
              </w:rPr>
            </w:pPr>
            <w:r w:rsidRPr="0054403F">
              <w:rPr>
                <w:rFonts w:ascii="Gill Sans MT" w:hAnsi="Gill Sans MT"/>
                <w:b w:val="0"/>
                <w:bCs w:val="0"/>
                <w:sz w:val="22"/>
                <w:u w:val="none"/>
              </w:rPr>
              <w:t>Procuring</w:t>
            </w:r>
            <w:r w:rsidRPr="0054403F">
              <w:rPr>
                <w:rFonts w:ascii="Gill Sans MT" w:hAnsi="Gill Sans MT"/>
                <w:b w:val="0"/>
                <w:bCs w:val="0"/>
                <w:spacing w:val="-3"/>
                <w:sz w:val="22"/>
                <w:u w:val="none"/>
              </w:rPr>
              <w:t xml:space="preserve"> </w:t>
            </w:r>
            <w:r w:rsidRPr="0054403F">
              <w:rPr>
                <w:rFonts w:ascii="Gill Sans MT" w:hAnsi="Gill Sans MT"/>
                <w:b w:val="0"/>
                <w:bCs w:val="0"/>
                <w:sz w:val="22"/>
                <w:u w:val="none"/>
              </w:rPr>
              <w:t>goods/services</w:t>
            </w:r>
            <w:r w:rsidRPr="0054403F">
              <w:rPr>
                <w:rFonts w:ascii="Gill Sans MT" w:hAnsi="Gill Sans MT"/>
                <w:b w:val="0"/>
                <w:bCs w:val="0"/>
                <w:spacing w:val="-2"/>
                <w:sz w:val="22"/>
                <w:u w:val="none"/>
              </w:rPr>
              <w:t xml:space="preserve"> </w:t>
            </w:r>
            <w:r w:rsidRPr="0054403F">
              <w:rPr>
                <w:rFonts w:ascii="Gill Sans MT" w:hAnsi="Gill Sans MT"/>
                <w:b w:val="0"/>
                <w:bCs w:val="0"/>
                <w:sz w:val="22"/>
                <w:u w:val="none"/>
              </w:rPr>
              <w:t>from</w:t>
            </w:r>
            <w:r w:rsidRPr="0054403F">
              <w:rPr>
                <w:rFonts w:ascii="Gill Sans MT" w:hAnsi="Gill Sans MT"/>
                <w:b w:val="0"/>
                <w:bCs w:val="0"/>
                <w:spacing w:val="-4"/>
                <w:sz w:val="22"/>
                <w:u w:val="none"/>
              </w:rPr>
              <w:t xml:space="preserve"> </w:t>
            </w:r>
            <w:r w:rsidRPr="0054403F">
              <w:rPr>
                <w:rFonts w:ascii="Gill Sans MT" w:hAnsi="Gill Sans MT"/>
                <w:b w:val="0"/>
                <w:bCs w:val="0"/>
                <w:sz w:val="22"/>
                <w:u w:val="none"/>
              </w:rPr>
              <w:t>vendors</w:t>
            </w:r>
            <w:r w:rsidRPr="0054403F">
              <w:rPr>
                <w:rFonts w:ascii="Gill Sans MT" w:hAnsi="Gill Sans MT"/>
                <w:b w:val="0"/>
                <w:bCs w:val="0"/>
                <w:spacing w:val="-2"/>
                <w:sz w:val="22"/>
                <w:u w:val="none"/>
              </w:rPr>
              <w:t xml:space="preserve"> </w:t>
            </w:r>
            <w:r w:rsidRPr="0054403F">
              <w:rPr>
                <w:rFonts w:ascii="Gill Sans MT" w:hAnsi="Gill Sans MT"/>
                <w:b w:val="0"/>
                <w:bCs w:val="0"/>
                <w:sz w:val="22"/>
                <w:u w:val="none"/>
              </w:rPr>
              <w:t>who</w:t>
            </w:r>
            <w:r w:rsidRPr="0054403F">
              <w:rPr>
                <w:rFonts w:ascii="Gill Sans MT" w:hAnsi="Gill Sans MT"/>
                <w:b w:val="0"/>
                <w:bCs w:val="0"/>
                <w:spacing w:val="-5"/>
                <w:sz w:val="22"/>
                <w:u w:val="none"/>
              </w:rPr>
              <w:t xml:space="preserve"> </w:t>
            </w:r>
            <w:r w:rsidRPr="0054403F">
              <w:rPr>
                <w:rFonts w:ascii="Gill Sans MT" w:hAnsi="Gill Sans MT"/>
                <w:b w:val="0"/>
                <w:bCs w:val="0"/>
                <w:sz w:val="22"/>
                <w:u w:val="none"/>
              </w:rPr>
              <w:t>are</w:t>
            </w:r>
            <w:r w:rsidRPr="0054403F">
              <w:rPr>
                <w:rFonts w:ascii="Gill Sans MT" w:hAnsi="Gill Sans MT"/>
                <w:b w:val="0"/>
                <w:bCs w:val="0"/>
                <w:spacing w:val="-7"/>
                <w:sz w:val="22"/>
                <w:u w:val="none"/>
              </w:rPr>
              <w:t xml:space="preserve"> </w:t>
            </w:r>
            <w:r w:rsidRPr="0054403F">
              <w:rPr>
                <w:rFonts w:ascii="Gill Sans MT" w:hAnsi="Gill Sans MT"/>
                <w:b w:val="0"/>
                <w:bCs w:val="0"/>
                <w:sz w:val="22"/>
                <w:u w:val="none"/>
              </w:rPr>
              <w:t>not</w:t>
            </w:r>
            <w:r w:rsidRPr="0054403F">
              <w:rPr>
                <w:rFonts w:ascii="Gill Sans MT" w:hAnsi="Gill Sans MT"/>
                <w:b w:val="0"/>
                <w:bCs w:val="0"/>
                <w:spacing w:val="-2"/>
                <w:sz w:val="22"/>
                <w:u w:val="none"/>
              </w:rPr>
              <w:t xml:space="preserve"> </w:t>
            </w:r>
            <w:r>
              <w:rPr>
                <w:rFonts w:ascii="Gill Sans MT" w:hAnsi="Gill Sans MT"/>
                <w:b w:val="0"/>
                <w:bCs w:val="0"/>
                <w:spacing w:val="-2"/>
                <w:sz w:val="22"/>
                <w:u w:val="none"/>
              </w:rPr>
              <w:t xml:space="preserve">already </w:t>
            </w:r>
            <w:r w:rsidRPr="0054403F">
              <w:rPr>
                <w:rFonts w:ascii="Gill Sans MT" w:hAnsi="Gill Sans MT"/>
                <w:b w:val="0"/>
                <w:bCs w:val="0"/>
                <w:sz w:val="22"/>
                <w:u w:val="none"/>
              </w:rPr>
              <w:t>in</w:t>
            </w:r>
            <w:r w:rsidRPr="0054403F">
              <w:rPr>
                <w:rFonts w:ascii="Gill Sans MT" w:hAnsi="Gill Sans MT"/>
                <w:b w:val="0"/>
                <w:bCs w:val="0"/>
                <w:spacing w:val="-5"/>
                <w:sz w:val="22"/>
                <w:u w:val="none"/>
              </w:rPr>
              <w:t xml:space="preserve"> </w:t>
            </w:r>
            <w:r w:rsidRPr="0054403F">
              <w:rPr>
                <w:rFonts w:ascii="Gill Sans MT" w:hAnsi="Gill Sans MT"/>
                <w:b w:val="0"/>
                <w:bCs w:val="0"/>
                <w:sz w:val="22"/>
                <w:u w:val="none"/>
              </w:rPr>
              <w:t>the</w:t>
            </w:r>
            <w:r w:rsidRPr="0054403F">
              <w:rPr>
                <w:rFonts w:ascii="Gill Sans MT" w:hAnsi="Gill Sans MT"/>
                <w:b w:val="0"/>
                <w:bCs w:val="0"/>
                <w:spacing w:val="-3"/>
                <w:sz w:val="22"/>
                <w:u w:val="none"/>
              </w:rPr>
              <w:t xml:space="preserve"> </w:t>
            </w:r>
            <w:r w:rsidRPr="0054403F">
              <w:rPr>
                <w:rFonts w:ascii="Gill Sans MT" w:hAnsi="Gill Sans MT"/>
                <w:b w:val="0"/>
                <w:bCs w:val="0"/>
                <w:sz w:val="22"/>
                <w:u w:val="none"/>
              </w:rPr>
              <w:t>PeopleSoft</w:t>
            </w:r>
            <w:r w:rsidRPr="0054403F">
              <w:rPr>
                <w:rFonts w:ascii="Gill Sans MT" w:hAnsi="Gill Sans MT"/>
                <w:b w:val="0"/>
                <w:bCs w:val="0"/>
                <w:spacing w:val="-2"/>
                <w:sz w:val="22"/>
                <w:u w:val="none"/>
              </w:rPr>
              <w:t xml:space="preserve"> </w:t>
            </w:r>
            <w:r w:rsidRPr="0054403F">
              <w:rPr>
                <w:rFonts w:ascii="Gill Sans MT" w:hAnsi="Gill Sans MT"/>
                <w:b w:val="0"/>
                <w:bCs w:val="0"/>
                <w:sz w:val="22"/>
                <w:u w:val="none"/>
              </w:rPr>
              <w:t>database</w:t>
            </w:r>
            <w:r w:rsidRPr="0054403F">
              <w:rPr>
                <w:rFonts w:ascii="Gill Sans MT" w:hAnsi="Gill Sans MT"/>
                <w:b w:val="0"/>
                <w:bCs w:val="0"/>
                <w:spacing w:val="-3"/>
                <w:sz w:val="22"/>
                <w:u w:val="none"/>
              </w:rPr>
              <w:t xml:space="preserve"> </w:t>
            </w:r>
            <w:r w:rsidRPr="0054403F">
              <w:rPr>
                <w:rFonts w:ascii="Gill Sans MT" w:hAnsi="Gill Sans MT"/>
                <w:b w:val="0"/>
                <w:bCs w:val="0"/>
                <w:sz w:val="22"/>
                <w:u w:val="none"/>
              </w:rPr>
              <w:t>may</w:t>
            </w:r>
            <w:r w:rsidRPr="0054403F">
              <w:rPr>
                <w:rFonts w:ascii="Gill Sans MT" w:hAnsi="Gill Sans MT"/>
                <w:b w:val="0"/>
                <w:bCs w:val="0"/>
                <w:spacing w:val="-2"/>
                <w:sz w:val="22"/>
                <w:u w:val="none"/>
              </w:rPr>
              <w:t xml:space="preserve"> </w:t>
            </w:r>
            <w:r w:rsidRPr="0054403F">
              <w:rPr>
                <w:rFonts w:ascii="Gill Sans MT" w:hAnsi="Gill Sans MT"/>
                <w:b w:val="0"/>
                <w:bCs w:val="0"/>
                <w:sz w:val="22"/>
                <w:u w:val="none"/>
              </w:rPr>
              <w:t xml:space="preserve">cause delays in our ability to pay vendors. </w:t>
            </w:r>
            <w:r w:rsidRPr="00DE0A3A">
              <w:rPr>
                <w:rFonts w:ascii="Gill Sans MT" w:hAnsi="Gill Sans MT"/>
                <w:sz w:val="22"/>
                <w:u w:val="none"/>
              </w:rPr>
              <w:t>All new vendors must have a W-9 form on file</w:t>
            </w:r>
          </w:p>
        </w:tc>
      </w:tr>
      <w:tr w:rsidR="00495886" w:rsidRPr="00C96B58" w14:paraId="07DC4166" w14:textId="77777777" w:rsidTr="00921506">
        <w:trPr>
          <w:trHeight w:val="728"/>
        </w:trPr>
        <w:tc>
          <w:tcPr>
            <w:tcW w:w="2015" w:type="dxa"/>
          </w:tcPr>
          <w:p w14:paraId="310235D2" w14:textId="27C59988" w:rsidR="00495886" w:rsidRDefault="00495886" w:rsidP="00495886">
            <w:pPr>
              <w:pStyle w:val="Title"/>
              <w:ind w:left="0"/>
              <w:rPr>
                <w:rFonts w:ascii="Gill Sans MT" w:hAnsi="Gill Sans MT"/>
                <w:sz w:val="22"/>
                <w:szCs w:val="22"/>
                <w:u w:val="none" w:color="C0504D"/>
              </w:rPr>
            </w:pPr>
            <w:r>
              <w:rPr>
                <w:rFonts w:ascii="Gill Sans MT" w:hAnsi="Gill Sans MT"/>
                <w:sz w:val="22"/>
                <w:szCs w:val="22"/>
                <w:u w:val="none" w:color="C0504D"/>
              </w:rPr>
              <w:t>July 14, 2023</w:t>
            </w:r>
          </w:p>
        </w:tc>
        <w:tc>
          <w:tcPr>
            <w:tcW w:w="4860" w:type="dxa"/>
          </w:tcPr>
          <w:p w14:paraId="3CD79574" w14:textId="629FC814" w:rsidR="00495886" w:rsidRPr="00C96B58"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Expense Transfers</w:t>
            </w:r>
          </w:p>
        </w:tc>
        <w:tc>
          <w:tcPr>
            <w:tcW w:w="7375" w:type="dxa"/>
          </w:tcPr>
          <w:p w14:paraId="358D46A7" w14:textId="26CB80A8" w:rsidR="00495886" w:rsidRPr="00C96B58"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Fiscal Services will no longer process expense adjustments after the deadline. Contact Nancy Lane (</w:t>
            </w:r>
            <w:hyperlink r:id="rId9" w:history="1">
              <w:r w:rsidRPr="00FE4CC9">
                <w:rPr>
                  <w:rStyle w:val="Hyperlink"/>
                  <w:rFonts w:ascii="Gill Sans MT" w:hAnsi="Gill Sans MT"/>
                  <w:b w:val="0"/>
                  <w:bCs w:val="0"/>
                  <w:sz w:val="22"/>
                  <w:szCs w:val="22"/>
                </w:rPr>
                <w:t>nlane@palomar.edu</w:t>
              </w:r>
            </w:hyperlink>
            <w:r>
              <w:rPr>
                <w:rFonts w:ascii="Gill Sans MT" w:hAnsi="Gill Sans MT"/>
                <w:b w:val="0"/>
                <w:bCs w:val="0"/>
                <w:sz w:val="22"/>
                <w:szCs w:val="22"/>
                <w:u w:val="none" w:color="C0504D"/>
              </w:rPr>
              <w:t xml:space="preserve">) with any questions. </w:t>
            </w:r>
          </w:p>
        </w:tc>
      </w:tr>
      <w:tr w:rsidR="00495886" w:rsidRPr="00C96B58" w14:paraId="739B0C14" w14:textId="77777777" w:rsidTr="00921506">
        <w:trPr>
          <w:trHeight w:val="1250"/>
        </w:trPr>
        <w:tc>
          <w:tcPr>
            <w:tcW w:w="2015" w:type="dxa"/>
          </w:tcPr>
          <w:p w14:paraId="3E858687" w14:textId="1E2B5B9F" w:rsidR="00495886" w:rsidRDefault="00495886" w:rsidP="00495886">
            <w:pPr>
              <w:pStyle w:val="Title"/>
              <w:ind w:left="0"/>
              <w:rPr>
                <w:rFonts w:ascii="Gill Sans MT" w:hAnsi="Gill Sans MT"/>
                <w:sz w:val="22"/>
                <w:szCs w:val="22"/>
                <w:u w:val="none" w:color="C0504D"/>
              </w:rPr>
            </w:pPr>
            <w:r>
              <w:rPr>
                <w:rFonts w:ascii="Gill Sans MT" w:hAnsi="Gill Sans MT"/>
                <w:sz w:val="22"/>
                <w:szCs w:val="22"/>
                <w:u w:val="none" w:color="C0504D"/>
              </w:rPr>
              <w:t>J</w:t>
            </w:r>
            <w:r w:rsidRPr="007C15DB">
              <w:rPr>
                <w:rFonts w:ascii="Gill Sans MT" w:hAnsi="Gill Sans MT"/>
                <w:sz w:val="22"/>
                <w:szCs w:val="22"/>
                <w:u w:val="none" w:color="C0504D"/>
              </w:rPr>
              <w:t>uly 14</w:t>
            </w:r>
            <w:r w:rsidRPr="00C96B58">
              <w:rPr>
                <w:rFonts w:ascii="Gill Sans MT" w:hAnsi="Gill Sans MT"/>
                <w:sz w:val="22"/>
                <w:szCs w:val="22"/>
                <w:u w:val="none" w:color="C0504D"/>
              </w:rPr>
              <w:t>, 2023</w:t>
            </w:r>
          </w:p>
        </w:tc>
        <w:tc>
          <w:tcPr>
            <w:tcW w:w="4860" w:type="dxa"/>
          </w:tcPr>
          <w:p w14:paraId="2386BD90" w14:textId="0066B304" w:rsidR="00495886"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Accounts Receivable</w:t>
            </w:r>
          </w:p>
        </w:tc>
        <w:tc>
          <w:tcPr>
            <w:tcW w:w="7375" w:type="dxa"/>
          </w:tcPr>
          <w:p w14:paraId="032312F6" w14:textId="7EEE422B" w:rsidR="00495886"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 xml:space="preserve">Departments aware of amounts owed to the College as of 6/30/23, including all billings to be invoiced, must send an e-mail to Pai Wang-Smith at pwang-smith@palomar.edu detailing the amount owed, the </w:t>
            </w:r>
            <w:proofErr w:type="gramStart"/>
            <w:r>
              <w:rPr>
                <w:rFonts w:ascii="Gill Sans MT" w:hAnsi="Gill Sans MT"/>
                <w:b w:val="0"/>
                <w:bCs w:val="0"/>
                <w:sz w:val="22"/>
                <w:szCs w:val="22"/>
                <w:u w:val="none" w:color="C0504D"/>
              </w:rPr>
              <w:t>vendor</w:t>
            </w:r>
            <w:proofErr w:type="gramEnd"/>
            <w:r>
              <w:rPr>
                <w:rFonts w:ascii="Gill Sans MT" w:hAnsi="Gill Sans MT"/>
                <w:b w:val="0"/>
                <w:bCs w:val="0"/>
                <w:sz w:val="22"/>
                <w:szCs w:val="22"/>
                <w:u w:val="none" w:color="C0504D"/>
              </w:rPr>
              <w:t xml:space="preserve"> name, and the account string to credit.</w:t>
            </w:r>
          </w:p>
        </w:tc>
      </w:tr>
      <w:tr w:rsidR="00495886" w:rsidRPr="00C96B58" w14:paraId="7BF8DC18" w14:textId="77777777" w:rsidTr="00921506">
        <w:trPr>
          <w:trHeight w:val="2060"/>
        </w:trPr>
        <w:tc>
          <w:tcPr>
            <w:tcW w:w="2015" w:type="dxa"/>
          </w:tcPr>
          <w:p w14:paraId="15207CD5" w14:textId="77777777" w:rsidR="00495886" w:rsidRDefault="00495886" w:rsidP="00495886">
            <w:pPr>
              <w:pStyle w:val="Title"/>
              <w:ind w:left="0"/>
              <w:rPr>
                <w:rFonts w:ascii="Gill Sans MT" w:hAnsi="Gill Sans MT"/>
                <w:sz w:val="22"/>
                <w:szCs w:val="22"/>
                <w:u w:val="none" w:color="C0504D"/>
              </w:rPr>
            </w:pPr>
            <w:r>
              <w:rPr>
                <w:rFonts w:ascii="Gill Sans MT" w:hAnsi="Gill Sans MT"/>
                <w:sz w:val="22"/>
                <w:szCs w:val="22"/>
                <w:u w:val="none" w:color="C0504D"/>
              </w:rPr>
              <w:t>July 19</w:t>
            </w:r>
            <w:r w:rsidRPr="00C96B58">
              <w:rPr>
                <w:rFonts w:ascii="Gill Sans MT" w:hAnsi="Gill Sans MT"/>
                <w:sz w:val="22"/>
                <w:szCs w:val="22"/>
                <w:u w:val="none" w:color="C0504D"/>
              </w:rPr>
              <w:t>, 2023</w:t>
            </w:r>
          </w:p>
          <w:p w14:paraId="699A0872" w14:textId="77777777" w:rsidR="00495886" w:rsidRDefault="00495886" w:rsidP="00495886">
            <w:pPr>
              <w:pStyle w:val="Title"/>
              <w:ind w:left="0"/>
              <w:rPr>
                <w:rFonts w:ascii="Gill Sans MT" w:hAnsi="Gill Sans MT"/>
                <w:sz w:val="22"/>
                <w:szCs w:val="22"/>
                <w:u w:val="none" w:color="C0504D"/>
              </w:rPr>
            </w:pPr>
          </w:p>
        </w:tc>
        <w:tc>
          <w:tcPr>
            <w:tcW w:w="4860" w:type="dxa"/>
          </w:tcPr>
          <w:p w14:paraId="5542F6A6" w14:textId="1A61B173" w:rsidR="00495886" w:rsidRDefault="00495886" w:rsidP="00495886">
            <w:pPr>
              <w:pStyle w:val="Title"/>
              <w:ind w:left="0"/>
              <w:jc w:val="both"/>
              <w:rPr>
                <w:rFonts w:ascii="Gill Sans MT" w:hAnsi="Gill Sans MT"/>
                <w:b w:val="0"/>
                <w:bCs w:val="0"/>
                <w:sz w:val="22"/>
                <w:szCs w:val="22"/>
                <w:u w:val="none" w:color="C0504D"/>
              </w:rPr>
            </w:pPr>
            <w:r w:rsidRPr="00C96B58">
              <w:rPr>
                <w:rFonts w:ascii="Gill Sans MT" w:hAnsi="Gill Sans MT"/>
                <w:b w:val="0"/>
                <w:bCs w:val="0"/>
                <w:sz w:val="22"/>
                <w:szCs w:val="22"/>
                <w:u w:val="none" w:color="C0504D"/>
              </w:rPr>
              <w:t>Invoices</w:t>
            </w:r>
          </w:p>
        </w:tc>
        <w:tc>
          <w:tcPr>
            <w:tcW w:w="7375" w:type="dxa"/>
          </w:tcPr>
          <w:p w14:paraId="5040C833" w14:textId="567B6B37" w:rsidR="00495886" w:rsidRDefault="00495886" w:rsidP="00495886">
            <w:pPr>
              <w:pStyle w:val="Title"/>
              <w:ind w:left="0"/>
              <w:jc w:val="both"/>
              <w:rPr>
                <w:rFonts w:ascii="Gill Sans MT" w:hAnsi="Gill Sans MT"/>
                <w:b w:val="0"/>
                <w:bCs w:val="0"/>
                <w:sz w:val="22"/>
                <w:szCs w:val="22"/>
                <w:u w:val="none" w:color="C0504D"/>
              </w:rPr>
            </w:pPr>
            <w:r w:rsidRPr="00C96B58">
              <w:rPr>
                <w:rFonts w:ascii="Gill Sans MT" w:hAnsi="Gill Sans MT"/>
                <w:b w:val="0"/>
                <w:bCs w:val="0"/>
                <w:sz w:val="22"/>
                <w:szCs w:val="22"/>
                <w:u w:val="none" w:color="C0504D"/>
              </w:rPr>
              <w:t>Goods must be received and</w:t>
            </w:r>
            <w:r>
              <w:rPr>
                <w:rFonts w:ascii="Gill Sans MT" w:hAnsi="Gill Sans MT"/>
                <w:b w:val="0"/>
                <w:bCs w:val="0"/>
                <w:sz w:val="22"/>
                <w:szCs w:val="22"/>
                <w:u w:val="none" w:color="C0504D"/>
              </w:rPr>
              <w:t>/or</w:t>
            </w:r>
            <w:r w:rsidRPr="00C96B58">
              <w:rPr>
                <w:rFonts w:ascii="Gill Sans MT" w:hAnsi="Gill Sans MT"/>
                <w:b w:val="0"/>
                <w:bCs w:val="0"/>
                <w:sz w:val="22"/>
                <w:szCs w:val="22"/>
                <w:u w:val="none" w:color="C0504D"/>
              </w:rPr>
              <w:t xml:space="preserve"> services rendered by 6/30/23 in order to be paid in the 2022-23 </w:t>
            </w:r>
            <w:r>
              <w:rPr>
                <w:rFonts w:ascii="Gill Sans MT" w:hAnsi="Gill Sans MT"/>
                <w:b w:val="0"/>
                <w:bCs w:val="0"/>
                <w:sz w:val="22"/>
                <w:szCs w:val="22"/>
                <w:u w:val="none" w:color="C0504D"/>
              </w:rPr>
              <w:t>f</w:t>
            </w:r>
            <w:r w:rsidRPr="00C96B58">
              <w:rPr>
                <w:rFonts w:ascii="Gill Sans MT" w:hAnsi="Gill Sans MT"/>
                <w:b w:val="0"/>
                <w:bCs w:val="0"/>
                <w:sz w:val="22"/>
                <w:szCs w:val="22"/>
                <w:u w:val="none" w:color="C0504D"/>
              </w:rPr>
              <w:t xml:space="preserve">iscal </w:t>
            </w:r>
            <w:r>
              <w:rPr>
                <w:rFonts w:ascii="Gill Sans MT" w:hAnsi="Gill Sans MT"/>
                <w:b w:val="0"/>
                <w:bCs w:val="0"/>
                <w:sz w:val="22"/>
                <w:szCs w:val="22"/>
                <w:u w:val="none" w:color="C0504D"/>
              </w:rPr>
              <w:t>y</w:t>
            </w:r>
            <w:r w:rsidRPr="00C96B58">
              <w:rPr>
                <w:rFonts w:ascii="Gill Sans MT" w:hAnsi="Gill Sans MT"/>
                <w:b w:val="0"/>
                <w:bCs w:val="0"/>
                <w:sz w:val="22"/>
                <w:szCs w:val="22"/>
                <w:u w:val="none" w:color="C0504D"/>
              </w:rPr>
              <w:t>ear.  If your department has not received an invoice</w:t>
            </w:r>
            <w:r>
              <w:rPr>
                <w:rFonts w:ascii="Gill Sans MT" w:hAnsi="Gill Sans MT"/>
                <w:b w:val="0"/>
                <w:bCs w:val="0"/>
                <w:sz w:val="22"/>
                <w:szCs w:val="22"/>
                <w:u w:val="none" w:color="C0504D"/>
              </w:rPr>
              <w:t xml:space="preserve"> for a service that has already taken place or a purchase that has been received</w:t>
            </w:r>
            <w:r w:rsidRPr="00C96B58">
              <w:rPr>
                <w:rFonts w:ascii="Gill Sans MT" w:hAnsi="Gill Sans MT"/>
                <w:b w:val="0"/>
                <w:bCs w:val="0"/>
                <w:sz w:val="22"/>
                <w:szCs w:val="22"/>
                <w:u w:val="none" w:color="C0504D"/>
              </w:rPr>
              <w:t xml:space="preserve">, contact the vendor immediately.  </w:t>
            </w:r>
          </w:p>
          <w:p w14:paraId="57CCF552" w14:textId="38936BC3" w:rsidR="008B05E1" w:rsidRDefault="00AB57F3"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Please add a note at the top of the invoice in</w:t>
            </w:r>
            <w:r w:rsidRPr="00CD37AD">
              <w:rPr>
                <w:rFonts w:ascii="Gill Sans MT" w:hAnsi="Gill Sans MT"/>
                <w:b w:val="0"/>
                <w:bCs w:val="0"/>
                <w:color w:val="FF0000"/>
                <w:sz w:val="22"/>
                <w:szCs w:val="22"/>
                <w:u w:val="none" w:color="C0504D"/>
              </w:rPr>
              <w:t xml:space="preserve"> red </w:t>
            </w:r>
            <w:r>
              <w:rPr>
                <w:rFonts w:ascii="Gill Sans MT" w:hAnsi="Gill Sans MT"/>
                <w:b w:val="0"/>
                <w:bCs w:val="0"/>
                <w:sz w:val="22"/>
                <w:szCs w:val="22"/>
                <w:u w:val="none" w:color="C0504D"/>
              </w:rPr>
              <w:t xml:space="preserve">to indicate the fiscal year </w:t>
            </w:r>
            <w:r w:rsidR="00CD37AD">
              <w:rPr>
                <w:rFonts w:ascii="Gill Sans MT" w:hAnsi="Gill Sans MT"/>
                <w:b w:val="0"/>
                <w:bCs w:val="0"/>
                <w:sz w:val="22"/>
                <w:szCs w:val="22"/>
                <w:u w:val="none" w:color="C0504D"/>
              </w:rPr>
              <w:t>the expense is associated with.</w:t>
            </w:r>
          </w:p>
          <w:p w14:paraId="04FD141A" w14:textId="580124A3" w:rsidR="00E93680" w:rsidRDefault="00495886" w:rsidP="00921506">
            <w:pPr>
              <w:pStyle w:val="Title"/>
              <w:ind w:left="0"/>
              <w:jc w:val="both"/>
              <w:rPr>
                <w:rFonts w:ascii="Gill Sans MT" w:hAnsi="Gill Sans MT"/>
                <w:b w:val="0"/>
                <w:bCs w:val="0"/>
                <w:sz w:val="22"/>
                <w:szCs w:val="22"/>
                <w:u w:val="none" w:color="C0504D"/>
              </w:rPr>
            </w:pPr>
            <w:r w:rsidRPr="00945C2B">
              <w:rPr>
                <w:rFonts w:ascii="Gill Sans MT" w:hAnsi="Gill Sans MT"/>
                <w:sz w:val="22"/>
                <w:szCs w:val="22"/>
                <w:u w:val="none" w:color="C0504D"/>
              </w:rPr>
              <w:t xml:space="preserve">Submit invoices to </w:t>
            </w:r>
            <w:hyperlink r:id="rId10" w:history="1">
              <w:r w:rsidR="00E93680" w:rsidRPr="00E93680">
                <w:rPr>
                  <w:rStyle w:val="Hyperlink"/>
                  <w:rFonts w:ascii="Gill Sans MT" w:hAnsi="Gill Sans MT"/>
                </w:rPr>
                <w:t>ap@palomar.edu</w:t>
              </w:r>
            </w:hyperlink>
            <w:r w:rsidRPr="00945C2B">
              <w:rPr>
                <w:rFonts w:ascii="Gill Sans MT" w:hAnsi="Gill Sans MT"/>
                <w:sz w:val="22"/>
                <w:szCs w:val="22"/>
                <w:u w:val="none" w:color="C0504D"/>
              </w:rPr>
              <w:t xml:space="preserve"> by the deadline</w:t>
            </w:r>
            <w:r w:rsidRPr="00C96B58">
              <w:rPr>
                <w:rFonts w:ascii="Gill Sans MT" w:hAnsi="Gill Sans MT"/>
                <w:b w:val="0"/>
                <w:bCs w:val="0"/>
                <w:sz w:val="22"/>
                <w:szCs w:val="22"/>
                <w:u w:val="none" w:color="C0504D"/>
              </w:rPr>
              <w:t>.</w:t>
            </w:r>
            <w:r>
              <w:rPr>
                <w:rFonts w:ascii="Gill Sans MT" w:hAnsi="Gill Sans MT"/>
                <w:b w:val="0"/>
                <w:bCs w:val="0"/>
                <w:sz w:val="22"/>
                <w:szCs w:val="22"/>
                <w:u w:val="none" w:color="C0504D"/>
              </w:rPr>
              <w:t xml:space="preserve">  </w:t>
            </w:r>
            <w:r w:rsidRPr="00C96B58">
              <w:rPr>
                <w:rFonts w:ascii="Gill Sans MT" w:hAnsi="Gill Sans MT"/>
                <w:b w:val="0"/>
                <w:bCs w:val="0"/>
                <w:sz w:val="22"/>
                <w:szCs w:val="22"/>
                <w:u w:val="none" w:color="C0504D"/>
              </w:rPr>
              <w:t xml:space="preserve">Invoices received after this </w:t>
            </w:r>
            <w:r>
              <w:rPr>
                <w:rFonts w:ascii="Gill Sans MT" w:hAnsi="Gill Sans MT"/>
                <w:b w:val="0"/>
                <w:bCs w:val="0"/>
                <w:sz w:val="22"/>
                <w:szCs w:val="22"/>
                <w:u w:val="none" w:color="C0504D"/>
              </w:rPr>
              <w:t>deadline</w:t>
            </w:r>
            <w:r w:rsidRPr="00C96B58">
              <w:rPr>
                <w:rFonts w:ascii="Gill Sans MT" w:hAnsi="Gill Sans MT"/>
                <w:b w:val="0"/>
                <w:bCs w:val="0"/>
                <w:sz w:val="22"/>
                <w:szCs w:val="22"/>
                <w:u w:val="none" w:color="C0504D"/>
              </w:rPr>
              <w:t xml:space="preserve"> will be charge</w:t>
            </w:r>
            <w:r>
              <w:rPr>
                <w:rFonts w:ascii="Gill Sans MT" w:hAnsi="Gill Sans MT"/>
                <w:b w:val="0"/>
                <w:bCs w:val="0"/>
                <w:sz w:val="22"/>
                <w:szCs w:val="22"/>
                <w:u w:val="none" w:color="C0504D"/>
              </w:rPr>
              <w:t>d</w:t>
            </w:r>
            <w:r w:rsidRPr="00C96B58">
              <w:rPr>
                <w:rFonts w:ascii="Gill Sans MT" w:hAnsi="Gill Sans MT"/>
                <w:b w:val="0"/>
                <w:bCs w:val="0"/>
                <w:sz w:val="22"/>
                <w:szCs w:val="22"/>
                <w:u w:val="none" w:color="C0504D"/>
              </w:rPr>
              <w:t xml:space="preserve"> against the 2023-24 Fiscal Year budget.</w:t>
            </w:r>
          </w:p>
        </w:tc>
      </w:tr>
      <w:tr w:rsidR="00495886" w:rsidRPr="00C96B58" w14:paraId="5C91B812" w14:textId="77777777" w:rsidTr="00921506">
        <w:trPr>
          <w:trHeight w:val="620"/>
        </w:trPr>
        <w:tc>
          <w:tcPr>
            <w:tcW w:w="2015" w:type="dxa"/>
          </w:tcPr>
          <w:p w14:paraId="7590379A" w14:textId="5D4F73D0" w:rsidR="00495886" w:rsidRDefault="00495886" w:rsidP="00495886">
            <w:pPr>
              <w:pStyle w:val="Title"/>
              <w:ind w:left="0"/>
              <w:rPr>
                <w:rFonts w:ascii="Gill Sans MT" w:hAnsi="Gill Sans MT"/>
                <w:sz w:val="22"/>
                <w:szCs w:val="22"/>
                <w:u w:val="none" w:color="C0504D"/>
              </w:rPr>
            </w:pPr>
            <w:r>
              <w:rPr>
                <w:rFonts w:ascii="Gill Sans MT" w:hAnsi="Gill Sans MT"/>
                <w:sz w:val="22"/>
                <w:szCs w:val="22"/>
                <w:u w:val="none" w:color="C0504D"/>
              </w:rPr>
              <w:t>J</w:t>
            </w:r>
            <w:r w:rsidRPr="007C15DB">
              <w:rPr>
                <w:rFonts w:ascii="Gill Sans MT" w:hAnsi="Gill Sans MT"/>
                <w:sz w:val="22"/>
                <w:szCs w:val="22"/>
                <w:u w:val="none" w:color="C0504D"/>
              </w:rPr>
              <w:t xml:space="preserve">uly </w:t>
            </w:r>
            <w:r>
              <w:rPr>
                <w:rFonts w:ascii="Gill Sans MT" w:hAnsi="Gill Sans MT"/>
                <w:sz w:val="22"/>
                <w:szCs w:val="22"/>
                <w:u w:val="none" w:color="C0504D"/>
              </w:rPr>
              <w:t>2</w:t>
            </w:r>
            <w:r w:rsidRPr="007C15DB">
              <w:rPr>
                <w:rFonts w:ascii="Gill Sans MT" w:hAnsi="Gill Sans MT"/>
                <w:sz w:val="22"/>
                <w:szCs w:val="22"/>
                <w:u w:val="none" w:color="C0504D"/>
              </w:rPr>
              <w:t>1</w:t>
            </w:r>
            <w:r w:rsidRPr="00C96B58">
              <w:rPr>
                <w:rFonts w:ascii="Gill Sans MT" w:hAnsi="Gill Sans MT"/>
                <w:sz w:val="22"/>
                <w:szCs w:val="22"/>
                <w:u w:val="none" w:color="C0504D"/>
              </w:rPr>
              <w:t>, 2023</w:t>
            </w:r>
          </w:p>
        </w:tc>
        <w:tc>
          <w:tcPr>
            <w:tcW w:w="4860" w:type="dxa"/>
          </w:tcPr>
          <w:p w14:paraId="38B1FE5D" w14:textId="4C1AD445" w:rsidR="00495886" w:rsidRPr="00C96B58"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Final Commercial Warrant Disbursement</w:t>
            </w:r>
          </w:p>
        </w:tc>
        <w:tc>
          <w:tcPr>
            <w:tcW w:w="7375" w:type="dxa"/>
          </w:tcPr>
          <w:p w14:paraId="1F781386" w14:textId="3C4E2F83" w:rsidR="00495886" w:rsidRPr="00C96B58" w:rsidRDefault="00495886" w:rsidP="00495886">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 xml:space="preserve">This is the final check run for all fiscal year 2022-23 activity. </w:t>
            </w:r>
          </w:p>
        </w:tc>
      </w:tr>
      <w:tr w:rsidR="00E93680" w:rsidRPr="00C96B58" w14:paraId="79E53C9A" w14:textId="77777777" w:rsidTr="00921506">
        <w:trPr>
          <w:trHeight w:val="620"/>
        </w:trPr>
        <w:tc>
          <w:tcPr>
            <w:tcW w:w="2015" w:type="dxa"/>
          </w:tcPr>
          <w:p w14:paraId="453FAC02" w14:textId="216C1A83" w:rsidR="00E93680" w:rsidRDefault="00E93680" w:rsidP="00E93680">
            <w:pPr>
              <w:pStyle w:val="Title"/>
              <w:ind w:left="0"/>
              <w:rPr>
                <w:rFonts w:ascii="Gill Sans MT" w:hAnsi="Gill Sans MT"/>
                <w:sz w:val="22"/>
                <w:szCs w:val="22"/>
                <w:u w:val="none" w:color="C0504D"/>
              </w:rPr>
            </w:pPr>
            <w:r>
              <w:rPr>
                <w:rFonts w:ascii="Gill Sans MT" w:hAnsi="Gill Sans MT"/>
                <w:sz w:val="22"/>
                <w:szCs w:val="22"/>
                <w:u w:val="none" w:color="C0504D"/>
              </w:rPr>
              <w:t>J</w:t>
            </w:r>
            <w:r w:rsidRPr="007C15DB">
              <w:rPr>
                <w:rFonts w:ascii="Gill Sans MT" w:hAnsi="Gill Sans MT"/>
                <w:sz w:val="22"/>
                <w:szCs w:val="22"/>
                <w:u w:val="none" w:color="C0504D"/>
              </w:rPr>
              <w:t xml:space="preserve">uly </w:t>
            </w:r>
            <w:r>
              <w:rPr>
                <w:rFonts w:ascii="Gill Sans MT" w:hAnsi="Gill Sans MT"/>
                <w:sz w:val="22"/>
                <w:szCs w:val="22"/>
                <w:u w:val="none" w:color="C0504D"/>
              </w:rPr>
              <w:t>27</w:t>
            </w:r>
            <w:r w:rsidRPr="00C96B58">
              <w:rPr>
                <w:rFonts w:ascii="Gill Sans MT" w:hAnsi="Gill Sans MT"/>
                <w:sz w:val="22"/>
                <w:szCs w:val="22"/>
                <w:u w:val="none" w:color="C0504D"/>
              </w:rPr>
              <w:t>, 2023</w:t>
            </w:r>
          </w:p>
        </w:tc>
        <w:tc>
          <w:tcPr>
            <w:tcW w:w="4860" w:type="dxa"/>
          </w:tcPr>
          <w:p w14:paraId="36B69441" w14:textId="0B0D66D0" w:rsidR="00E93680" w:rsidRDefault="00E93680" w:rsidP="00E93680">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Grant Reconciliations</w:t>
            </w:r>
          </w:p>
        </w:tc>
        <w:tc>
          <w:tcPr>
            <w:tcW w:w="7375" w:type="dxa"/>
          </w:tcPr>
          <w:p w14:paraId="15625F0D" w14:textId="55BC623B" w:rsidR="00E93680" w:rsidRDefault="00E93680" w:rsidP="00E93680">
            <w:pPr>
              <w:pStyle w:val="Title"/>
              <w:ind w:left="0"/>
              <w:jc w:val="both"/>
              <w:rPr>
                <w:rFonts w:ascii="Gill Sans MT" w:hAnsi="Gill Sans MT"/>
                <w:b w:val="0"/>
                <w:bCs w:val="0"/>
                <w:sz w:val="22"/>
                <w:szCs w:val="22"/>
                <w:u w:val="none" w:color="C0504D"/>
              </w:rPr>
            </w:pPr>
            <w:r>
              <w:rPr>
                <w:rFonts w:ascii="Gill Sans MT" w:hAnsi="Gill Sans MT"/>
                <w:b w:val="0"/>
                <w:bCs w:val="0"/>
                <w:sz w:val="22"/>
                <w:szCs w:val="22"/>
                <w:u w:val="none" w:color="C0504D"/>
              </w:rPr>
              <w:t xml:space="preserve">All June 30 grant reconciliations are due by the deadline indicated. </w:t>
            </w:r>
          </w:p>
        </w:tc>
      </w:tr>
    </w:tbl>
    <w:p w14:paraId="2DF7305A" w14:textId="7F06ADCE" w:rsidR="00CE6CD3" w:rsidRDefault="00CE6CD3" w:rsidP="00CE6CD3">
      <w:pPr>
        <w:tabs>
          <w:tab w:val="left" w:pos="679"/>
          <w:tab w:val="left" w:pos="680"/>
        </w:tabs>
        <w:spacing w:before="1"/>
        <w:rPr>
          <w:rFonts w:ascii="Gill Sans MT" w:hAnsi="Gill Sans MT"/>
        </w:rPr>
      </w:pPr>
    </w:p>
    <w:p w14:paraId="50B0585D" w14:textId="77777777" w:rsidR="006C72A0" w:rsidRDefault="006C72A0" w:rsidP="00CE6CD3">
      <w:pPr>
        <w:tabs>
          <w:tab w:val="left" w:pos="679"/>
          <w:tab w:val="left" w:pos="680"/>
        </w:tabs>
        <w:spacing w:before="1"/>
        <w:rPr>
          <w:rFonts w:ascii="Gill Sans MT" w:hAnsi="Gill Sans MT"/>
          <w:b/>
          <w:bCs/>
          <w:highlight w:val="yellow"/>
          <w:u w:val="single"/>
        </w:rPr>
      </w:pPr>
    </w:p>
    <w:p w14:paraId="3E46B21F" w14:textId="1601F593" w:rsidR="00CE6CD3" w:rsidRPr="0051089E" w:rsidRDefault="00CE6CD3" w:rsidP="00CE6CD3">
      <w:pPr>
        <w:tabs>
          <w:tab w:val="left" w:pos="679"/>
          <w:tab w:val="left" w:pos="680"/>
        </w:tabs>
        <w:spacing w:before="1"/>
        <w:rPr>
          <w:rFonts w:ascii="Gill Sans MT" w:hAnsi="Gill Sans MT"/>
          <w:b/>
          <w:bCs/>
        </w:rPr>
      </w:pPr>
      <w:r w:rsidRPr="006C72A0">
        <w:rPr>
          <w:rFonts w:ascii="Gill Sans MT" w:hAnsi="Gill Sans MT"/>
          <w:b/>
          <w:bCs/>
          <w:color w:val="FF0000"/>
          <w:highlight w:val="yellow"/>
          <w:u w:val="single"/>
        </w:rPr>
        <w:t>Note</w:t>
      </w:r>
      <w:r w:rsidRPr="00B66127">
        <w:rPr>
          <w:rFonts w:ascii="Gill Sans MT" w:hAnsi="Gill Sans MT"/>
          <w:b/>
          <w:bCs/>
        </w:rPr>
        <w:t xml:space="preserve">:  </w:t>
      </w:r>
      <w:r w:rsidRPr="0051089E">
        <w:rPr>
          <w:rFonts w:ascii="Gill Sans MT" w:hAnsi="Gill Sans MT"/>
          <w:b/>
          <w:bCs/>
        </w:rPr>
        <w:t>Any exceptions to the</w:t>
      </w:r>
      <w:r w:rsidR="008C42C0" w:rsidRPr="0051089E">
        <w:rPr>
          <w:rFonts w:ascii="Gill Sans MT" w:hAnsi="Gill Sans MT"/>
          <w:b/>
          <w:bCs/>
        </w:rPr>
        <w:t xml:space="preserve"> above</w:t>
      </w:r>
      <w:r w:rsidRPr="0051089E">
        <w:rPr>
          <w:rFonts w:ascii="Gill Sans MT" w:hAnsi="Gill Sans MT"/>
          <w:b/>
          <w:bCs/>
        </w:rPr>
        <w:t xml:space="preserve"> deadlines</w:t>
      </w:r>
      <w:r w:rsidR="00B66127" w:rsidRPr="0051089E">
        <w:rPr>
          <w:rFonts w:ascii="Gill Sans MT" w:hAnsi="Gill Sans MT"/>
          <w:b/>
          <w:bCs/>
        </w:rPr>
        <w:t xml:space="preserve"> must have a written justification and </w:t>
      </w:r>
      <w:r w:rsidR="0051089E" w:rsidRPr="0051089E">
        <w:rPr>
          <w:rFonts w:ascii="Gill Sans MT" w:hAnsi="Gill Sans MT"/>
          <w:b/>
          <w:bCs/>
        </w:rPr>
        <w:t>be approved</w:t>
      </w:r>
      <w:r w:rsidR="00B66127" w:rsidRPr="0051089E">
        <w:rPr>
          <w:rFonts w:ascii="Gill Sans MT" w:hAnsi="Gill Sans MT"/>
          <w:b/>
          <w:bCs/>
        </w:rPr>
        <w:t xml:space="preserve"> by </w:t>
      </w:r>
      <w:r w:rsidR="008C42C0" w:rsidRPr="0051089E">
        <w:rPr>
          <w:rFonts w:ascii="Gill Sans MT" w:hAnsi="Gill Sans MT"/>
          <w:b/>
          <w:bCs/>
        </w:rPr>
        <w:t xml:space="preserve">both </w:t>
      </w:r>
      <w:r w:rsidR="00B66127" w:rsidRPr="0051089E">
        <w:rPr>
          <w:rFonts w:ascii="Gill Sans MT" w:hAnsi="Gill Sans MT"/>
          <w:b/>
          <w:bCs/>
        </w:rPr>
        <w:t xml:space="preserve">the Division Vice President </w:t>
      </w:r>
      <w:r w:rsidR="00B66127" w:rsidRPr="0051089E">
        <w:rPr>
          <w:rFonts w:ascii="Gill Sans MT" w:hAnsi="Gill Sans MT"/>
          <w:b/>
          <w:bCs/>
          <w:u w:val="single"/>
        </w:rPr>
        <w:t>and</w:t>
      </w:r>
      <w:r w:rsidR="00B66127" w:rsidRPr="0051089E">
        <w:rPr>
          <w:rFonts w:ascii="Gill Sans MT" w:hAnsi="Gill Sans MT"/>
          <w:b/>
          <w:bCs/>
        </w:rPr>
        <w:t xml:space="preserve"> the Vice President of Fiscal and Administrative Services.  </w:t>
      </w:r>
    </w:p>
    <w:sectPr w:rsidR="00CE6CD3" w:rsidRPr="0051089E" w:rsidSect="00CE6CD3">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2E5"/>
    <w:multiLevelType w:val="hybridMultilevel"/>
    <w:tmpl w:val="733C4A6E"/>
    <w:lvl w:ilvl="0" w:tplc="F4DE8996">
      <w:start w:val="1"/>
      <w:numFmt w:val="decimal"/>
      <w:lvlText w:val="%1."/>
      <w:lvlJc w:val="left"/>
      <w:pPr>
        <w:ind w:left="140" w:hanging="248"/>
        <w:jc w:val="left"/>
      </w:pPr>
      <w:rPr>
        <w:rFonts w:ascii="Arial" w:eastAsia="Arial" w:hAnsi="Arial" w:cs="Arial" w:hint="default"/>
        <w:b w:val="0"/>
        <w:bCs w:val="0"/>
        <w:i w:val="0"/>
        <w:iCs w:val="0"/>
        <w:spacing w:val="-1"/>
        <w:w w:val="100"/>
        <w:sz w:val="22"/>
        <w:szCs w:val="22"/>
        <w:lang w:val="en-US" w:eastAsia="en-US" w:bidi="ar-SA"/>
      </w:rPr>
    </w:lvl>
    <w:lvl w:ilvl="1" w:tplc="CDEEA766">
      <w:numFmt w:val="bullet"/>
      <w:lvlText w:val="•"/>
      <w:lvlJc w:val="left"/>
      <w:pPr>
        <w:ind w:left="1070" w:hanging="248"/>
      </w:pPr>
      <w:rPr>
        <w:rFonts w:hint="default"/>
        <w:lang w:val="en-US" w:eastAsia="en-US" w:bidi="ar-SA"/>
      </w:rPr>
    </w:lvl>
    <w:lvl w:ilvl="2" w:tplc="9FBEBEF0">
      <w:numFmt w:val="bullet"/>
      <w:lvlText w:val="•"/>
      <w:lvlJc w:val="left"/>
      <w:pPr>
        <w:ind w:left="2000" w:hanging="248"/>
      </w:pPr>
      <w:rPr>
        <w:rFonts w:hint="default"/>
        <w:lang w:val="en-US" w:eastAsia="en-US" w:bidi="ar-SA"/>
      </w:rPr>
    </w:lvl>
    <w:lvl w:ilvl="3" w:tplc="8DC2F218">
      <w:numFmt w:val="bullet"/>
      <w:lvlText w:val="•"/>
      <w:lvlJc w:val="left"/>
      <w:pPr>
        <w:ind w:left="2930" w:hanging="248"/>
      </w:pPr>
      <w:rPr>
        <w:rFonts w:hint="default"/>
        <w:lang w:val="en-US" w:eastAsia="en-US" w:bidi="ar-SA"/>
      </w:rPr>
    </w:lvl>
    <w:lvl w:ilvl="4" w:tplc="09D47084">
      <w:numFmt w:val="bullet"/>
      <w:lvlText w:val="•"/>
      <w:lvlJc w:val="left"/>
      <w:pPr>
        <w:ind w:left="3860" w:hanging="248"/>
      </w:pPr>
      <w:rPr>
        <w:rFonts w:hint="default"/>
        <w:lang w:val="en-US" w:eastAsia="en-US" w:bidi="ar-SA"/>
      </w:rPr>
    </w:lvl>
    <w:lvl w:ilvl="5" w:tplc="1BAC0D40">
      <w:numFmt w:val="bullet"/>
      <w:lvlText w:val="•"/>
      <w:lvlJc w:val="left"/>
      <w:pPr>
        <w:ind w:left="4790" w:hanging="248"/>
      </w:pPr>
      <w:rPr>
        <w:rFonts w:hint="default"/>
        <w:lang w:val="en-US" w:eastAsia="en-US" w:bidi="ar-SA"/>
      </w:rPr>
    </w:lvl>
    <w:lvl w:ilvl="6" w:tplc="B21A4334">
      <w:numFmt w:val="bullet"/>
      <w:lvlText w:val="•"/>
      <w:lvlJc w:val="left"/>
      <w:pPr>
        <w:ind w:left="5720" w:hanging="248"/>
      </w:pPr>
      <w:rPr>
        <w:rFonts w:hint="default"/>
        <w:lang w:val="en-US" w:eastAsia="en-US" w:bidi="ar-SA"/>
      </w:rPr>
    </w:lvl>
    <w:lvl w:ilvl="7" w:tplc="983A6C96">
      <w:numFmt w:val="bullet"/>
      <w:lvlText w:val="•"/>
      <w:lvlJc w:val="left"/>
      <w:pPr>
        <w:ind w:left="6650" w:hanging="248"/>
      </w:pPr>
      <w:rPr>
        <w:rFonts w:hint="default"/>
        <w:lang w:val="en-US" w:eastAsia="en-US" w:bidi="ar-SA"/>
      </w:rPr>
    </w:lvl>
    <w:lvl w:ilvl="8" w:tplc="41F81492">
      <w:numFmt w:val="bullet"/>
      <w:lvlText w:val="•"/>
      <w:lvlJc w:val="left"/>
      <w:pPr>
        <w:ind w:left="7580" w:hanging="248"/>
      </w:pPr>
      <w:rPr>
        <w:rFonts w:hint="default"/>
        <w:lang w:val="en-US" w:eastAsia="en-US" w:bidi="ar-SA"/>
      </w:rPr>
    </w:lvl>
  </w:abstractNum>
  <w:abstractNum w:abstractNumId="1" w15:restartNumberingAfterBreak="0">
    <w:nsid w:val="100E1A7B"/>
    <w:multiLevelType w:val="hybridMultilevel"/>
    <w:tmpl w:val="18A01BEA"/>
    <w:lvl w:ilvl="0" w:tplc="38B4CC80">
      <w:start w:val="1"/>
      <w:numFmt w:val="decimal"/>
      <w:lvlText w:val="(%1)"/>
      <w:lvlJc w:val="left"/>
      <w:pPr>
        <w:ind w:left="679" w:hanging="540"/>
        <w:jc w:val="left"/>
      </w:pPr>
      <w:rPr>
        <w:rFonts w:hint="default"/>
        <w:spacing w:val="-1"/>
        <w:w w:val="100"/>
        <w:lang w:val="en-US" w:eastAsia="en-US" w:bidi="ar-SA"/>
      </w:rPr>
    </w:lvl>
    <w:lvl w:ilvl="1" w:tplc="DED08FF8">
      <w:numFmt w:val="bullet"/>
      <w:lvlText w:val="•"/>
      <w:lvlJc w:val="left"/>
      <w:pPr>
        <w:ind w:left="1556" w:hanging="540"/>
      </w:pPr>
      <w:rPr>
        <w:rFonts w:hint="default"/>
        <w:lang w:val="en-US" w:eastAsia="en-US" w:bidi="ar-SA"/>
      </w:rPr>
    </w:lvl>
    <w:lvl w:ilvl="2" w:tplc="BE22C8D8">
      <w:numFmt w:val="bullet"/>
      <w:lvlText w:val="•"/>
      <w:lvlJc w:val="left"/>
      <w:pPr>
        <w:ind w:left="2432" w:hanging="540"/>
      </w:pPr>
      <w:rPr>
        <w:rFonts w:hint="default"/>
        <w:lang w:val="en-US" w:eastAsia="en-US" w:bidi="ar-SA"/>
      </w:rPr>
    </w:lvl>
    <w:lvl w:ilvl="3" w:tplc="7B865556">
      <w:numFmt w:val="bullet"/>
      <w:lvlText w:val="•"/>
      <w:lvlJc w:val="left"/>
      <w:pPr>
        <w:ind w:left="3308" w:hanging="540"/>
      </w:pPr>
      <w:rPr>
        <w:rFonts w:hint="default"/>
        <w:lang w:val="en-US" w:eastAsia="en-US" w:bidi="ar-SA"/>
      </w:rPr>
    </w:lvl>
    <w:lvl w:ilvl="4" w:tplc="1F66E5D6">
      <w:numFmt w:val="bullet"/>
      <w:lvlText w:val="•"/>
      <w:lvlJc w:val="left"/>
      <w:pPr>
        <w:ind w:left="4184" w:hanging="540"/>
      </w:pPr>
      <w:rPr>
        <w:rFonts w:hint="default"/>
        <w:lang w:val="en-US" w:eastAsia="en-US" w:bidi="ar-SA"/>
      </w:rPr>
    </w:lvl>
    <w:lvl w:ilvl="5" w:tplc="D22A3388">
      <w:numFmt w:val="bullet"/>
      <w:lvlText w:val="•"/>
      <w:lvlJc w:val="left"/>
      <w:pPr>
        <w:ind w:left="5060" w:hanging="540"/>
      </w:pPr>
      <w:rPr>
        <w:rFonts w:hint="default"/>
        <w:lang w:val="en-US" w:eastAsia="en-US" w:bidi="ar-SA"/>
      </w:rPr>
    </w:lvl>
    <w:lvl w:ilvl="6" w:tplc="423418C8">
      <w:numFmt w:val="bullet"/>
      <w:lvlText w:val="•"/>
      <w:lvlJc w:val="left"/>
      <w:pPr>
        <w:ind w:left="5936" w:hanging="540"/>
      </w:pPr>
      <w:rPr>
        <w:rFonts w:hint="default"/>
        <w:lang w:val="en-US" w:eastAsia="en-US" w:bidi="ar-SA"/>
      </w:rPr>
    </w:lvl>
    <w:lvl w:ilvl="7" w:tplc="0CBE213C">
      <w:numFmt w:val="bullet"/>
      <w:lvlText w:val="•"/>
      <w:lvlJc w:val="left"/>
      <w:pPr>
        <w:ind w:left="6812" w:hanging="540"/>
      </w:pPr>
      <w:rPr>
        <w:rFonts w:hint="default"/>
        <w:lang w:val="en-US" w:eastAsia="en-US" w:bidi="ar-SA"/>
      </w:rPr>
    </w:lvl>
    <w:lvl w:ilvl="8" w:tplc="66B00A88">
      <w:numFmt w:val="bullet"/>
      <w:lvlText w:val="•"/>
      <w:lvlJc w:val="left"/>
      <w:pPr>
        <w:ind w:left="7688" w:hanging="540"/>
      </w:pPr>
      <w:rPr>
        <w:rFonts w:hint="default"/>
        <w:lang w:val="en-US" w:eastAsia="en-US" w:bidi="ar-SA"/>
      </w:rPr>
    </w:lvl>
  </w:abstractNum>
  <w:num w:numId="1" w16cid:durableId="233592412">
    <w:abstractNumId w:val="1"/>
  </w:num>
  <w:num w:numId="2" w16cid:durableId="32991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F8"/>
    <w:rsid w:val="00063482"/>
    <w:rsid w:val="000970D0"/>
    <w:rsid w:val="000F7246"/>
    <w:rsid w:val="001906AF"/>
    <w:rsid w:val="00191C3F"/>
    <w:rsid w:val="001F4E61"/>
    <w:rsid w:val="0020244C"/>
    <w:rsid w:val="00214F13"/>
    <w:rsid w:val="002408FC"/>
    <w:rsid w:val="002443A8"/>
    <w:rsid w:val="00294505"/>
    <w:rsid w:val="00295F24"/>
    <w:rsid w:val="002A468D"/>
    <w:rsid w:val="002B0225"/>
    <w:rsid w:val="002B0403"/>
    <w:rsid w:val="002B551F"/>
    <w:rsid w:val="002C78BF"/>
    <w:rsid w:val="002D0FF8"/>
    <w:rsid w:val="002D18A9"/>
    <w:rsid w:val="00314F2A"/>
    <w:rsid w:val="00361D69"/>
    <w:rsid w:val="00375AFF"/>
    <w:rsid w:val="00394AAB"/>
    <w:rsid w:val="003E28E4"/>
    <w:rsid w:val="003E6FB1"/>
    <w:rsid w:val="0042081C"/>
    <w:rsid w:val="004339C3"/>
    <w:rsid w:val="00495886"/>
    <w:rsid w:val="004E76A9"/>
    <w:rsid w:val="004F0603"/>
    <w:rsid w:val="0051089E"/>
    <w:rsid w:val="0051421B"/>
    <w:rsid w:val="00533956"/>
    <w:rsid w:val="00542CA7"/>
    <w:rsid w:val="0054403F"/>
    <w:rsid w:val="00600474"/>
    <w:rsid w:val="006107B6"/>
    <w:rsid w:val="00625676"/>
    <w:rsid w:val="00633D46"/>
    <w:rsid w:val="00636D95"/>
    <w:rsid w:val="006422A2"/>
    <w:rsid w:val="00663735"/>
    <w:rsid w:val="00676140"/>
    <w:rsid w:val="00676444"/>
    <w:rsid w:val="006C4669"/>
    <w:rsid w:val="006C72A0"/>
    <w:rsid w:val="006D11ED"/>
    <w:rsid w:val="006D2F47"/>
    <w:rsid w:val="00714954"/>
    <w:rsid w:val="0077493E"/>
    <w:rsid w:val="007922A2"/>
    <w:rsid w:val="0079462D"/>
    <w:rsid w:val="007A0E1C"/>
    <w:rsid w:val="007C15DB"/>
    <w:rsid w:val="007D7EA4"/>
    <w:rsid w:val="007E7B67"/>
    <w:rsid w:val="007F1058"/>
    <w:rsid w:val="008414C4"/>
    <w:rsid w:val="00881CC0"/>
    <w:rsid w:val="00882E74"/>
    <w:rsid w:val="008B05E1"/>
    <w:rsid w:val="008B1687"/>
    <w:rsid w:val="008B2AC9"/>
    <w:rsid w:val="008C1791"/>
    <w:rsid w:val="008C42C0"/>
    <w:rsid w:val="008F2C6A"/>
    <w:rsid w:val="008F382E"/>
    <w:rsid w:val="00901C79"/>
    <w:rsid w:val="00921506"/>
    <w:rsid w:val="00945C2B"/>
    <w:rsid w:val="009966A4"/>
    <w:rsid w:val="009F6A72"/>
    <w:rsid w:val="00A23AAA"/>
    <w:rsid w:val="00A5149A"/>
    <w:rsid w:val="00A809B9"/>
    <w:rsid w:val="00A90F25"/>
    <w:rsid w:val="00AB050D"/>
    <w:rsid w:val="00AB3F4A"/>
    <w:rsid w:val="00AB57F3"/>
    <w:rsid w:val="00AD29A9"/>
    <w:rsid w:val="00B06042"/>
    <w:rsid w:val="00B66127"/>
    <w:rsid w:val="00B765B0"/>
    <w:rsid w:val="00BF5E8A"/>
    <w:rsid w:val="00C13BE7"/>
    <w:rsid w:val="00C27527"/>
    <w:rsid w:val="00C353CC"/>
    <w:rsid w:val="00C365CB"/>
    <w:rsid w:val="00C807CA"/>
    <w:rsid w:val="00C8618E"/>
    <w:rsid w:val="00C96B58"/>
    <w:rsid w:val="00CA369D"/>
    <w:rsid w:val="00CB452D"/>
    <w:rsid w:val="00CD0D64"/>
    <w:rsid w:val="00CD37AD"/>
    <w:rsid w:val="00CE6CD3"/>
    <w:rsid w:val="00CF0F40"/>
    <w:rsid w:val="00D13CA0"/>
    <w:rsid w:val="00D17B3B"/>
    <w:rsid w:val="00D846CF"/>
    <w:rsid w:val="00D859E4"/>
    <w:rsid w:val="00D86124"/>
    <w:rsid w:val="00D87CB6"/>
    <w:rsid w:val="00D94731"/>
    <w:rsid w:val="00DE0A3A"/>
    <w:rsid w:val="00DE30FD"/>
    <w:rsid w:val="00DE36A8"/>
    <w:rsid w:val="00E06BEA"/>
    <w:rsid w:val="00E155E9"/>
    <w:rsid w:val="00E64E2A"/>
    <w:rsid w:val="00E93680"/>
    <w:rsid w:val="00EA0C50"/>
    <w:rsid w:val="00EA415B"/>
    <w:rsid w:val="00EE4B01"/>
    <w:rsid w:val="00F069AE"/>
    <w:rsid w:val="00F55E62"/>
    <w:rsid w:val="00F73A6E"/>
    <w:rsid w:val="00F90A81"/>
    <w:rsid w:val="00FC2879"/>
    <w:rsid w:val="00FD2D40"/>
    <w:rsid w:val="00FE6C6D"/>
    <w:rsid w:val="00F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D18B"/>
  <w15:docId w15:val="{047573AB-66C6-46D3-8D9F-B230F4B2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4"/>
      <w:ind w:left="140"/>
    </w:pPr>
    <w:rPr>
      <w:rFonts w:ascii="Cambria" w:eastAsia="Cambria" w:hAnsi="Cambria" w:cs="Cambria"/>
      <w:b/>
      <w:bCs/>
      <w:sz w:val="24"/>
      <w:szCs w:val="24"/>
      <w:u w:val="single" w:color="000000"/>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table" w:styleId="TableGrid">
    <w:name w:val="Table Grid"/>
    <w:basedOn w:val="TableNormal"/>
    <w:uiPriority w:val="39"/>
    <w:rsid w:val="00EA4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AFF"/>
    <w:rPr>
      <w:color w:val="0000FF" w:themeColor="hyperlink"/>
      <w:u w:val="single"/>
    </w:rPr>
  </w:style>
  <w:style w:type="character" w:styleId="UnresolvedMention">
    <w:name w:val="Unresolved Mention"/>
    <w:basedOn w:val="DefaultParagraphFont"/>
    <w:uiPriority w:val="99"/>
    <w:semiHidden/>
    <w:unhideWhenUsed/>
    <w:rsid w:val="00375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cobian@palomar.edu" TargetMode="External"/><Relationship Id="rId3" Type="http://schemas.openxmlformats.org/officeDocument/2006/relationships/settings" Target="settings.xml"/><Relationship Id="rId7" Type="http://schemas.openxmlformats.org/officeDocument/2006/relationships/hyperlink" Target="mailto:btaveuveu@paloma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wang-Smith@palomar.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p@palomar.edu" TargetMode="External"/><Relationship Id="rId4" Type="http://schemas.openxmlformats.org/officeDocument/2006/relationships/webSettings" Target="webSettings.xml"/><Relationship Id="rId9" Type="http://schemas.openxmlformats.org/officeDocument/2006/relationships/hyperlink" Target="mailto:nlane@palom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FISCAL MEMORANDUM FAS 18-03</vt:lpstr>
    </vt:vector>
  </TitlesOfParts>
  <Company>Palomar College</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MEMORANDUM FAS 18-03</dc:title>
  <dc:creator>Heather</dc:creator>
  <cp:lastModifiedBy>Lane, Nancy</cp:lastModifiedBy>
  <cp:revision>2</cp:revision>
  <cp:lastPrinted>2023-03-10T18:57:00Z</cp:lastPrinted>
  <dcterms:created xsi:type="dcterms:W3CDTF">2023-03-17T21:56:00Z</dcterms:created>
  <dcterms:modified xsi:type="dcterms:W3CDTF">2023-03-17T21:56:00Z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0x01010026E5B30E0F405D4DB3C304DFDF91A8A3</vt:lpwstr>
  </property>
  <property fmtid="{D5CDD505-2E9C-101B-9397-08002B2CF9AE}" pid="3" name="Created">
    <vt:filetime>2022-05-12T00:00:00Z</vt:filetime>
  </property>
  <property fmtid="{D5CDD505-2E9C-101B-9397-08002B2CF9AE}" pid="4" name="Creator">
    <vt:lpwstr>Acrobat PDFMaker 20 for Word</vt:lpwstr>
  </property>
  <property fmtid="{D5CDD505-2E9C-101B-9397-08002B2CF9AE}" pid="5" name="LastSaved">
    <vt:filetime>2023-02-15T00:00:00Z</vt:filetime>
  </property>
  <property fmtid="{D5CDD505-2E9C-101B-9397-08002B2CF9AE}" pid="6" name="Producer">
    <vt:lpwstr>Adobe PDF Library 20.9.95</vt:lpwstr>
  </property>
  <property fmtid="{D5CDD505-2E9C-101B-9397-08002B2CF9AE}" pid="7" name="SourceModified">
    <vt:lpwstr/>
  </property>
</Properties>
</file>