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A3CF4" w14:textId="77777777" w:rsidR="007A61BE" w:rsidRPr="00CF29BB" w:rsidRDefault="007A61BE" w:rsidP="007A61BE">
      <w:pPr>
        <w:spacing w:after="0" w:line="259" w:lineRule="auto"/>
        <w:ind w:left="504" w:right="0" w:firstLine="0"/>
        <w:jc w:val="left"/>
        <w:rPr>
          <w:rFonts w:ascii="Source Sans Pro" w:hAnsi="Source Sans Pro"/>
        </w:rPr>
      </w:pPr>
      <w:bookmarkStart w:id="0" w:name="_GoBack"/>
      <w:bookmarkEnd w:id="0"/>
      <w:r w:rsidRPr="00CF29BB">
        <w:rPr>
          <w:rFonts w:ascii="Source Sans Pro" w:hAnsi="Source Sans Pro"/>
          <w:sz w:val="56"/>
        </w:rPr>
        <w:t xml:space="preserve">  </w:t>
      </w:r>
    </w:p>
    <w:p w14:paraId="48F136A1" w14:textId="77777777" w:rsidR="007A61BE" w:rsidRPr="00CF29BB" w:rsidRDefault="007A61BE" w:rsidP="007A61BE">
      <w:pPr>
        <w:spacing w:after="0" w:line="259" w:lineRule="auto"/>
        <w:ind w:left="499" w:right="0"/>
        <w:jc w:val="left"/>
        <w:rPr>
          <w:rFonts w:ascii="Source Sans Pro" w:hAnsi="Source Sans Pro"/>
          <w:sz w:val="56"/>
        </w:rPr>
      </w:pPr>
    </w:p>
    <w:p w14:paraId="68C99E18" w14:textId="77777777" w:rsidR="007A61BE" w:rsidRPr="00CF29BB" w:rsidRDefault="007A61BE" w:rsidP="007A61BE">
      <w:pPr>
        <w:spacing w:after="0" w:line="259" w:lineRule="auto"/>
        <w:ind w:left="499" w:right="0"/>
        <w:jc w:val="left"/>
        <w:rPr>
          <w:rFonts w:ascii="Source Sans Pro" w:hAnsi="Source Sans Pro"/>
          <w:sz w:val="56"/>
        </w:rPr>
      </w:pPr>
    </w:p>
    <w:p w14:paraId="19C2F63B" w14:textId="77777777" w:rsidR="007A61BE" w:rsidRPr="00CF29BB" w:rsidRDefault="007A61BE" w:rsidP="007A61BE">
      <w:pPr>
        <w:spacing w:after="0" w:line="259" w:lineRule="auto"/>
        <w:ind w:left="499" w:right="0"/>
        <w:jc w:val="left"/>
        <w:rPr>
          <w:rFonts w:ascii="Source Sans Pro" w:hAnsi="Source Sans Pro"/>
          <w:sz w:val="56"/>
        </w:rPr>
      </w:pPr>
    </w:p>
    <w:p w14:paraId="676D0468" w14:textId="77777777" w:rsidR="007A61BE" w:rsidRPr="00CF29BB" w:rsidRDefault="007A61BE" w:rsidP="007A61BE">
      <w:pPr>
        <w:spacing w:after="0" w:line="259" w:lineRule="auto"/>
        <w:ind w:left="499" w:right="0"/>
        <w:jc w:val="left"/>
        <w:rPr>
          <w:rFonts w:ascii="Source Sans Pro" w:hAnsi="Source Sans Pro"/>
          <w:sz w:val="56"/>
        </w:rPr>
      </w:pPr>
    </w:p>
    <w:p w14:paraId="5C4EF4DA" w14:textId="77777777" w:rsidR="007A61BE" w:rsidRPr="00CF29BB" w:rsidRDefault="007A61BE" w:rsidP="007A61BE">
      <w:pPr>
        <w:spacing w:after="0" w:line="259" w:lineRule="auto"/>
        <w:ind w:left="499" w:right="0"/>
        <w:jc w:val="left"/>
        <w:rPr>
          <w:rFonts w:ascii="Source Sans Pro" w:hAnsi="Source Sans Pro"/>
          <w:sz w:val="56"/>
        </w:rPr>
      </w:pPr>
    </w:p>
    <w:p w14:paraId="5C143EB0" w14:textId="77777777" w:rsidR="007A61BE" w:rsidRPr="00CF29BB" w:rsidRDefault="007A61BE" w:rsidP="007A61BE">
      <w:pPr>
        <w:spacing w:after="0" w:line="259" w:lineRule="auto"/>
        <w:ind w:left="499" w:right="0"/>
        <w:jc w:val="left"/>
        <w:rPr>
          <w:rFonts w:ascii="Source Sans Pro" w:hAnsi="Source Sans Pro"/>
          <w:sz w:val="56"/>
        </w:rPr>
      </w:pPr>
    </w:p>
    <w:p w14:paraId="0FB5CA92" w14:textId="77777777" w:rsidR="007A61BE" w:rsidRPr="00CF29BB" w:rsidRDefault="007A61BE" w:rsidP="007A61BE">
      <w:pPr>
        <w:spacing w:after="0" w:line="259" w:lineRule="auto"/>
        <w:ind w:left="499" w:right="0"/>
        <w:jc w:val="left"/>
        <w:rPr>
          <w:rFonts w:ascii="Source Sans Pro" w:hAnsi="Source Sans Pro"/>
          <w:sz w:val="56"/>
        </w:rPr>
      </w:pPr>
    </w:p>
    <w:p w14:paraId="4C28F457" w14:textId="77777777" w:rsidR="007A61BE" w:rsidRPr="00CF29BB" w:rsidRDefault="007A61BE" w:rsidP="007A61BE">
      <w:pPr>
        <w:pStyle w:val="Title"/>
        <w:jc w:val="left"/>
        <w:rPr>
          <w:rFonts w:ascii="Source Sans Pro" w:hAnsi="Source Sans Pro"/>
        </w:rPr>
      </w:pPr>
      <w:r w:rsidRPr="00CF29BB">
        <w:rPr>
          <w:rFonts w:ascii="Source Sans Pro" w:hAnsi="Source Sans Pro"/>
        </w:rPr>
        <w:t xml:space="preserve">Student Centered Funding Formula </w:t>
      </w:r>
      <w:r w:rsidR="005E1BE5">
        <w:rPr>
          <w:rFonts w:ascii="Source Sans Pro" w:hAnsi="Source Sans Pro"/>
        </w:rPr>
        <w:t xml:space="preserve">Responses to </w:t>
      </w:r>
      <w:r w:rsidRPr="00CF29BB">
        <w:rPr>
          <w:rFonts w:ascii="Source Sans Pro" w:hAnsi="Source Sans Pro"/>
        </w:rPr>
        <w:t xml:space="preserve">Frequently Asked Questions </w:t>
      </w:r>
    </w:p>
    <w:p w14:paraId="5A329B60" w14:textId="77777777" w:rsidR="007A61BE" w:rsidRPr="00CF29BB" w:rsidRDefault="007A61BE" w:rsidP="007A61BE">
      <w:pPr>
        <w:spacing w:after="160" w:line="259" w:lineRule="auto"/>
        <w:ind w:left="504" w:right="0" w:firstLine="0"/>
        <w:jc w:val="left"/>
        <w:rPr>
          <w:rFonts w:ascii="Source Sans Pro" w:hAnsi="Source Sans Pro"/>
        </w:rPr>
      </w:pPr>
      <w:r w:rsidRPr="00CF29BB">
        <w:rPr>
          <w:rFonts w:ascii="Source Sans Pro" w:hAnsi="Source Sans Pro"/>
          <w:b/>
        </w:rPr>
        <w:t xml:space="preserve">  </w:t>
      </w:r>
    </w:p>
    <w:p w14:paraId="627F8FAF" w14:textId="2FD0EE76" w:rsidR="007A61BE" w:rsidRPr="00CF29BB" w:rsidRDefault="007A61BE" w:rsidP="00947BFD">
      <w:pPr>
        <w:rPr>
          <w:rFonts w:ascii="Source Sans Pro" w:hAnsi="Source Sans Pro"/>
        </w:rPr>
      </w:pPr>
      <w:r w:rsidRPr="00CF29BB">
        <w:rPr>
          <w:rFonts w:ascii="Source Sans Pro" w:hAnsi="Source Sans Pro"/>
        </w:rPr>
        <w:t xml:space="preserve">AS OF </w:t>
      </w:r>
      <w:r w:rsidR="00BA539B">
        <w:rPr>
          <w:rFonts w:ascii="Source Sans Pro" w:hAnsi="Source Sans Pro"/>
        </w:rPr>
        <w:t>March 7</w:t>
      </w:r>
      <w:r w:rsidR="00EE2E3F">
        <w:rPr>
          <w:rFonts w:ascii="Source Sans Pro" w:hAnsi="Source Sans Pro"/>
        </w:rPr>
        <w:t>, 2019</w:t>
      </w:r>
    </w:p>
    <w:p w14:paraId="52B8164C" w14:textId="77777777" w:rsidR="007A61BE" w:rsidRPr="00CF29BB" w:rsidRDefault="007A61BE" w:rsidP="007A61BE">
      <w:pPr>
        <w:rPr>
          <w:rFonts w:ascii="Source Sans Pro" w:hAnsi="Source Sans Pro"/>
        </w:rPr>
      </w:pPr>
    </w:p>
    <w:p w14:paraId="7B3C46C2" w14:textId="77777777" w:rsidR="007A61BE" w:rsidRPr="00CF29BB" w:rsidRDefault="007A61BE" w:rsidP="007A61BE">
      <w:pPr>
        <w:spacing w:after="438"/>
        <w:ind w:left="499" w:right="0"/>
        <w:rPr>
          <w:rFonts w:ascii="Source Sans Pro" w:hAnsi="Source Sans Pro"/>
        </w:rPr>
      </w:pPr>
    </w:p>
    <w:p w14:paraId="527388EC" w14:textId="77777777" w:rsidR="007A61BE" w:rsidRPr="00CF29BB" w:rsidRDefault="007A61BE" w:rsidP="007A61BE">
      <w:pPr>
        <w:spacing w:after="438"/>
        <w:ind w:left="499" w:right="0"/>
        <w:rPr>
          <w:rFonts w:ascii="Source Sans Pro" w:hAnsi="Source Sans Pro"/>
        </w:rPr>
      </w:pPr>
    </w:p>
    <w:p w14:paraId="355896BC" w14:textId="77777777" w:rsidR="007A61BE" w:rsidRPr="00CF29BB" w:rsidRDefault="007A61BE" w:rsidP="007A61BE">
      <w:pPr>
        <w:spacing w:after="438"/>
        <w:ind w:left="499" w:right="0"/>
        <w:rPr>
          <w:rFonts w:ascii="Source Sans Pro" w:hAnsi="Source Sans Pro"/>
        </w:rPr>
      </w:pPr>
    </w:p>
    <w:p w14:paraId="229B6B56" w14:textId="77777777" w:rsidR="007A61BE" w:rsidRPr="00CF29BB" w:rsidRDefault="007A61BE" w:rsidP="007A61BE">
      <w:pPr>
        <w:spacing w:after="438"/>
        <w:ind w:left="499" w:right="0"/>
        <w:rPr>
          <w:rFonts w:ascii="Source Sans Pro" w:hAnsi="Source Sans Pro"/>
        </w:rPr>
      </w:pPr>
    </w:p>
    <w:p w14:paraId="3F718F32" w14:textId="77777777" w:rsidR="007A61BE" w:rsidRPr="00CF29BB" w:rsidRDefault="007A61BE" w:rsidP="007A61BE">
      <w:pPr>
        <w:spacing w:after="438"/>
        <w:ind w:left="499" w:right="0"/>
        <w:rPr>
          <w:rFonts w:ascii="Source Sans Pro" w:hAnsi="Source Sans Pro"/>
        </w:rPr>
      </w:pPr>
    </w:p>
    <w:p w14:paraId="028F398D" w14:textId="77777777" w:rsidR="00947BFD" w:rsidRPr="00CF29BB" w:rsidRDefault="00947BFD" w:rsidP="007A61BE">
      <w:pPr>
        <w:pStyle w:val="Title"/>
        <w:ind w:left="0" w:firstLine="0"/>
        <w:rPr>
          <w:rFonts w:ascii="Source Sans Pro" w:eastAsia="Calibri" w:hAnsi="Source Sans Pro" w:cs="Calibri"/>
          <w:color w:val="000000"/>
          <w:spacing w:val="0"/>
          <w:kern w:val="0"/>
          <w:sz w:val="22"/>
          <w:szCs w:val="22"/>
        </w:rPr>
      </w:pPr>
    </w:p>
    <w:p w14:paraId="4B9F752B" w14:textId="77777777" w:rsidR="007A61BE" w:rsidRPr="00CF29BB" w:rsidRDefault="007A61BE" w:rsidP="007A61BE">
      <w:pPr>
        <w:pStyle w:val="Title"/>
        <w:ind w:left="0" w:firstLine="0"/>
        <w:rPr>
          <w:rFonts w:ascii="Source Sans Pro" w:hAnsi="Source Sans Pro"/>
        </w:rPr>
      </w:pPr>
      <w:r w:rsidRPr="00CF29BB">
        <w:rPr>
          <w:rFonts w:ascii="Source Sans Pro" w:hAnsi="Source Sans Pro"/>
        </w:rPr>
        <w:lastRenderedPageBreak/>
        <w:t>Contents</w:t>
      </w:r>
    </w:p>
    <w:sdt>
      <w:sdtPr>
        <w:rPr>
          <w:rFonts w:ascii="Source Sans Pro" w:eastAsia="Calibri" w:hAnsi="Source Sans Pro" w:cs="Calibri"/>
          <w:color w:val="000000"/>
          <w:sz w:val="22"/>
          <w:szCs w:val="22"/>
        </w:rPr>
        <w:id w:val="1717543359"/>
        <w:docPartObj>
          <w:docPartGallery w:val="Table of Contents"/>
          <w:docPartUnique/>
        </w:docPartObj>
      </w:sdtPr>
      <w:sdtEndPr>
        <w:rPr>
          <w:b/>
          <w:bCs/>
          <w:noProof/>
        </w:rPr>
      </w:sdtEndPr>
      <w:sdtContent>
        <w:p w14:paraId="3F5ECD23" w14:textId="77777777" w:rsidR="00947BFD" w:rsidRPr="00CF29BB" w:rsidRDefault="00947BFD" w:rsidP="00E80DD9">
          <w:pPr>
            <w:pStyle w:val="TOCHeading"/>
            <w:numPr>
              <w:ilvl w:val="0"/>
              <w:numId w:val="0"/>
            </w:numPr>
            <w:rPr>
              <w:rFonts w:ascii="Source Sans Pro" w:hAnsi="Source Sans Pro"/>
              <w:color w:val="002F6D"/>
            </w:rPr>
          </w:pPr>
          <w:r w:rsidRPr="00CF29BB">
            <w:rPr>
              <w:rFonts w:ascii="Source Sans Pro" w:hAnsi="Source Sans Pro"/>
              <w:color w:val="002F6D"/>
            </w:rPr>
            <w:t>Table of Contents</w:t>
          </w:r>
        </w:p>
        <w:p w14:paraId="32F09261" w14:textId="77777777" w:rsidR="00EE2E3F" w:rsidRDefault="00947BFD">
          <w:pPr>
            <w:pStyle w:val="TOC1"/>
            <w:rPr>
              <w:rFonts w:asciiTheme="minorHAnsi" w:eastAsiaTheme="minorEastAsia" w:hAnsiTheme="minorHAnsi" w:cstheme="minorBidi"/>
              <w:noProof/>
              <w:color w:val="auto"/>
            </w:rPr>
          </w:pPr>
          <w:r w:rsidRPr="00CF29BB">
            <w:rPr>
              <w:b/>
              <w:bCs/>
              <w:noProof/>
            </w:rPr>
            <w:fldChar w:fldCharType="begin"/>
          </w:r>
          <w:r w:rsidRPr="00CF29BB">
            <w:rPr>
              <w:b/>
              <w:bCs/>
              <w:noProof/>
            </w:rPr>
            <w:instrText xml:space="preserve"> TOC \o "1-1" \h \z \u </w:instrText>
          </w:r>
          <w:r w:rsidRPr="00CF29BB">
            <w:rPr>
              <w:b/>
              <w:bCs/>
              <w:noProof/>
            </w:rPr>
            <w:fldChar w:fldCharType="separate"/>
          </w:r>
          <w:hyperlink w:anchor="_Toc536798191" w:history="1">
            <w:r w:rsidR="00EE2E3F" w:rsidRPr="003A22D3">
              <w:rPr>
                <w:rStyle w:val="Hyperlink"/>
                <w:rFonts w:ascii="Source Sans Pro" w:hAnsi="Source Sans Pro"/>
                <w:noProof/>
              </w:rPr>
              <w:t>A</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Introduction</w:t>
            </w:r>
            <w:r w:rsidR="00EE2E3F">
              <w:rPr>
                <w:noProof/>
                <w:webHidden/>
              </w:rPr>
              <w:tab/>
            </w:r>
            <w:r w:rsidR="00EE2E3F">
              <w:rPr>
                <w:noProof/>
                <w:webHidden/>
              </w:rPr>
              <w:fldChar w:fldCharType="begin"/>
            </w:r>
            <w:r w:rsidR="00EE2E3F">
              <w:rPr>
                <w:noProof/>
                <w:webHidden/>
              </w:rPr>
              <w:instrText xml:space="preserve"> PAGEREF _Toc536798191 \h </w:instrText>
            </w:r>
            <w:r w:rsidR="00EE2E3F">
              <w:rPr>
                <w:noProof/>
                <w:webHidden/>
              </w:rPr>
            </w:r>
            <w:r w:rsidR="00EE2E3F">
              <w:rPr>
                <w:noProof/>
                <w:webHidden/>
              </w:rPr>
              <w:fldChar w:fldCharType="separate"/>
            </w:r>
            <w:r w:rsidR="00EE2E3F">
              <w:rPr>
                <w:noProof/>
                <w:webHidden/>
              </w:rPr>
              <w:t>1</w:t>
            </w:r>
            <w:r w:rsidR="00EE2E3F">
              <w:rPr>
                <w:noProof/>
                <w:webHidden/>
              </w:rPr>
              <w:fldChar w:fldCharType="end"/>
            </w:r>
          </w:hyperlink>
        </w:p>
        <w:p w14:paraId="522C64D6" w14:textId="77777777" w:rsidR="00EE2E3F" w:rsidRDefault="00852030">
          <w:pPr>
            <w:pStyle w:val="TOC1"/>
            <w:rPr>
              <w:rFonts w:asciiTheme="minorHAnsi" w:eastAsiaTheme="minorEastAsia" w:hAnsiTheme="minorHAnsi" w:cstheme="minorBidi"/>
              <w:noProof/>
              <w:color w:val="auto"/>
            </w:rPr>
          </w:pPr>
          <w:hyperlink w:anchor="_Toc536798192" w:history="1">
            <w:r w:rsidR="00EE2E3F" w:rsidRPr="003A22D3">
              <w:rPr>
                <w:rStyle w:val="Hyperlink"/>
                <w:rFonts w:ascii="Source Sans Pro" w:hAnsi="Source Sans Pro"/>
                <w:noProof/>
              </w:rPr>
              <w:t>B</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Base Allocation</w:t>
            </w:r>
            <w:r w:rsidR="00EE2E3F">
              <w:rPr>
                <w:noProof/>
                <w:webHidden/>
              </w:rPr>
              <w:tab/>
            </w:r>
            <w:r w:rsidR="00EE2E3F">
              <w:rPr>
                <w:noProof/>
                <w:webHidden/>
              </w:rPr>
              <w:fldChar w:fldCharType="begin"/>
            </w:r>
            <w:r w:rsidR="00EE2E3F">
              <w:rPr>
                <w:noProof/>
                <w:webHidden/>
              </w:rPr>
              <w:instrText xml:space="preserve"> PAGEREF _Toc536798192 \h </w:instrText>
            </w:r>
            <w:r w:rsidR="00EE2E3F">
              <w:rPr>
                <w:noProof/>
                <w:webHidden/>
              </w:rPr>
            </w:r>
            <w:r w:rsidR="00EE2E3F">
              <w:rPr>
                <w:noProof/>
                <w:webHidden/>
              </w:rPr>
              <w:fldChar w:fldCharType="separate"/>
            </w:r>
            <w:r w:rsidR="00EE2E3F">
              <w:rPr>
                <w:noProof/>
                <w:webHidden/>
              </w:rPr>
              <w:t>2</w:t>
            </w:r>
            <w:r w:rsidR="00EE2E3F">
              <w:rPr>
                <w:noProof/>
                <w:webHidden/>
              </w:rPr>
              <w:fldChar w:fldCharType="end"/>
            </w:r>
          </w:hyperlink>
        </w:p>
        <w:p w14:paraId="0C25382B" w14:textId="77777777" w:rsidR="00EE2E3F" w:rsidRDefault="00852030">
          <w:pPr>
            <w:pStyle w:val="TOC1"/>
            <w:rPr>
              <w:rFonts w:asciiTheme="minorHAnsi" w:eastAsiaTheme="minorEastAsia" w:hAnsiTheme="minorHAnsi" w:cstheme="minorBidi"/>
              <w:noProof/>
              <w:color w:val="auto"/>
            </w:rPr>
          </w:pPr>
          <w:hyperlink w:anchor="_Toc536798193" w:history="1">
            <w:r w:rsidR="00EE2E3F" w:rsidRPr="003A22D3">
              <w:rPr>
                <w:rStyle w:val="Hyperlink"/>
                <w:rFonts w:ascii="Source Sans Pro" w:hAnsi="Source Sans Pro"/>
                <w:noProof/>
              </w:rPr>
              <w:t>C</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Supplemental Allocation</w:t>
            </w:r>
            <w:r w:rsidR="00EE2E3F">
              <w:rPr>
                <w:noProof/>
                <w:webHidden/>
              </w:rPr>
              <w:tab/>
            </w:r>
            <w:r w:rsidR="00EE2E3F">
              <w:rPr>
                <w:noProof/>
                <w:webHidden/>
              </w:rPr>
              <w:fldChar w:fldCharType="begin"/>
            </w:r>
            <w:r w:rsidR="00EE2E3F">
              <w:rPr>
                <w:noProof/>
                <w:webHidden/>
              </w:rPr>
              <w:instrText xml:space="preserve"> PAGEREF _Toc536798193 \h </w:instrText>
            </w:r>
            <w:r w:rsidR="00EE2E3F">
              <w:rPr>
                <w:noProof/>
                <w:webHidden/>
              </w:rPr>
            </w:r>
            <w:r w:rsidR="00EE2E3F">
              <w:rPr>
                <w:noProof/>
                <w:webHidden/>
              </w:rPr>
              <w:fldChar w:fldCharType="separate"/>
            </w:r>
            <w:r w:rsidR="00EE2E3F">
              <w:rPr>
                <w:noProof/>
                <w:webHidden/>
              </w:rPr>
              <w:t>7</w:t>
            </w:r>
            <w:r w:rsidR="00EE2E3F">
              <w:rPr>
                <w:noProof/>
                <w:webHidden/>
              </w:rPr>
              <w:fldChar w:fldCharType="end"/>
            </w:r>
          </w:hyperlink>
        </w:p>
        <w:p w14:paraId="0AE8759C" w14:textId="77777777" w:rsidR="00EE2E3F" w:rsidRDefault="00852030">
          <w:pPr>
            <w:pStyle w:val="TOC1"/>
            <w:rPr>
              <w:rFonts w:asciiTheme="minorHAnsi" w:eastAsiaTheme="minorEastAsia" w:hAnsiTheme="minorHAnsi" w:cstheme="minorBidi"/>
              <w:noProof/>
              <w:color w:val="auto"/>
            </w:rPr>
          </w:pPr>
          <w:hyperlink w:anchor="_Toc536798194" w:history="1">
            <w:r w:rsidR="00EE2E3F" w:rsidRPr="003A22D3">
              <w:rPr>
                <w:rStyle w:val="Hyperlink"/>
                <w:rFonts w:ascii="Source Sans Pro" w:hAnsi="Source Sans Pro"/>
                <w:noProof/>
              </w:rPr>
              <w:t>D</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Student Success Allocation</w:t>
            </w:r>
            <w:r w:rsidR="00EE2E3F">
              <w:rPr>
                <w:noProof/>
                <w:webHidden/>
              </w:rPr>
              <w:tab/>
            </w:r>
            <w:r w:rsidR="00EE2E3F">
              <w:rPr>
                <w:noProof/>
                <w:webHidden/>
              </w:rPr>
              <w:fldChar w:fldCharType="begin"/>
            </w:r>
            <w:r w:rsidR="00EE2E3F">
              <w:rPr>
                <w:noProof/>
                <w:webHidden/>
              </w:rPr>
              <w:instrText xml:space="preserve"> PAGEREF _Toc536798194 \h </w:instrText>
            </w:r>
            <w:r w:rsidR="00EE2E3F">
              <w:rPr>
                <w:noProof/>
                <w:webHidden/>
              </w:rPr>
            </w:r>
            <w:r w:rsidR="00EE2E3F">
              <w:rPr>
                <w:noProof/>
                <w:webHidden/>
              </w:rPr>
              <w:fldChar w:fldCharType="separate"/>
            </w:r>
            <w:r w:rsidR="00EE2E3F">
              <w:rPr>
                <w:noProof/>
                <w:webHidden/>
              </w:rPr>
              <w:t>9</w:t>
            </w:r>
            <w:r w:rsidR="00EE2E3F">
              <w:rPr>
                <w:noProof/>
                <w:webHidden/>
              </w:rPr>
              <w:fldChar w:fldCharType="end"/>
            </w:r>
          </w:hyperlink>
        </w:p>
        <w:p w14:paraId="12F486B1" w14:textId="77777777" w:rsidR="00EE2E3F" w:rsidRDefault="00852030">
          <w:pPr>
            <w:pStyle w:val="TOC1"/>
            <w:rPr>
              <w:rFonts w:asciiTheme="minorHAnsi" w:eastAsiaTheme="minorEastAsia" w:hAnsiTheme="minorHAnsi" w:cstheme="minorBidi"/>
              <w:noProof/>
              <w:color w:val="auto"/>
            </w:rPr>
          </w:pPr>
          <w:hyperlink w:anchor="_Toc536798195" w:history="1">
            <w:r w:rsidR="00EE2E3F" w:rsidRPr="003A22D3">
              <w:rPr>
                <w:rStyle w:val="Hyperlink"/>
                <w:rFonts w:ascii="Source Sans Pro" w:hAnsi="Source Sans Pro"/>
                <w:noProof/>
              </w:rPr>
              <w:t>E</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Student Success: Transfer-Level English and Math in Year One</w:t>
            </w:r>
            <w:r w:rsidR="00EE2E3F">
              <w:rPr>
                <w:noProof/>
                <w:webHidden/>
              </w:rPr>
              <w:tab/>
            </w:r>
            <w:r w:rsidR="00EE2E3F">
              <w:rPr>
                <w:noProof/>
                <w:webHidden/>
              </w:rPr>
              <w:fldChar w:fldCharType="begin"/>
            </w:r>
            <w:r w:rsidR="00EE2E3F">
              <w:rPr>
                <w:noProof/>
                <w:webHidden/>
              </w:rPr>
              <w:instrText xml:space="preserve"> PAGEREF _Toc536798195 \h </w:instrText>
            </w:r>
            <w:r w:rsidR="00EE2E3F">
              <w:rPr>
                <w:noProof/>
                <w:webHidden/>
              </w:rPr>
            </w:r>
            <w:r w:rsidR="00EE2E3F">
              <w:rPr>
                <w:noProof/>
                <w:webHidden/>
              </w:rPr>
              <w:fldChar w:fldCharType="separate"/>
            </w:r>
            <w:r w:rsidR="00EE2E3F">
              <w:rPr>
                <w:noProof/>
                <w:webHidden/>
              </w:rPr>
              <w:t>11</w:t>
            </w:r>
            <w:r w:rsidR="00EE2E3F">
              <w:rPr>
                <w:noProof/>
                <w:webHidden/>
              </w:rPr>
              <w:fldChar w:fldCharType="end"/>
            </w:r>
          </w:hyperlink>
        </w:p>
        <w:p w14:paraId="49DFDD70" w14:textId="77777777" w:rsidR="00EE2E3F" w:rsidRDefault="00852030">
          <w:pPr>
            <w:pStyle w:val="TOC1"/>
            <w:rPr>
              <w:rFonts w:asciiTheme="minorHAnsi" w:eastAsiaTheme="minorEastAsia" w:hAnsiTheme="minorHAnsi" w:cstheme="minorBidi"/>
              <w:noProof/>
              <w:color w:val="auto"/>
            </w:rPr>
          </w:pPr>
          <w:hyperlink w:anchor="_Toc536798196" w:history="1">
            <w:r w:rsidR="00EE2E3F" w:rsidRPr="003A22D3">
              <w:rPr>
                <w:rStyle w:val="Hyperlink"/>
                <w:rFonts w:ascii="Source Sans Pro" w:hAnsi="Source Sans Pro"/>
                <w:noProof/>
              </w:rPr>
              <w:t>F</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Student Success: Nine CTE Credits</w:t>
            </w:r>
            <w:r w:rsidR="00EE2E3F">
              <w:rPr>
                <w:noProof/>
                <w:webHidden/>
              </w:rPr>
              <w:tab/>
            </w:r>
            <w:r w:rsidR="00EE2E3F">
              <w:rPr>
                <w:noProof/>
                <w:webHidden/>
              </w:rPr>
              <w:fldChar w:fldCharType="begin"/>
            </w:r>
            <w:r w:rsidR="00EE2E3F">
              <w:rPr>
                <w:noProof/>
                <w:webHidden/>
              </w:rPr>
              <w:instrText xml:space="preserve"> PAGEREF _Toc536798196 \h </w:instrText>
            </w:r>
            <w:r w:rsidR="00EE2E3F">
              <w:rPr>
                <w:noProof/>
                <w:webHidden/>
              </w:rPr>
            </w:r>
            <w:r w:rsidR="00EE2E3F">
              <w:rPr>
                <w:noProof/>
                <w:webHidden/>
              </w:rPr>
              <w:fldChar w:fldCharType="separate"/>
            </w:r>
            <w:r w:rsidR="00EE2E3F">
              <w:rPr>
                <w:noProof/>
                <w:webHidden/>
              </w:rPr>
              <w:t>11</w:t>
            </w:r>
            <w:r w:rsidR="00EE2E3F">
              <w:rPr>
                <w:noProof/>
                <w:webHidden/>
              </w:rPr>
              <w:fldChar w:fldCharType="end"/>
            </w:r>
          </w:hyperlink>
        </w:p>
        <w:p w14:paraId="2C3EE0D0" w14:textId="77777777" w:rsidR="00EE2E3F" w:rsidRDefault="00852030">
          <w:pPr>
            <w:pStyle w:val="TOC1"/>
            <w:rPr>
              <w:rFonts w:asciiTheme="minorHAnsi" w:eastAsiaTheme="minorEastAsia" w:hAnsiTheme="minorHAnsi" w:cstheme="minorBidi"/>
              <w:noProof/>
              <w:color w:val="auto"/>
            </w:rPr>
          </w:pPr>
          <w:hyperlink w:anchor="_Toc536798197" w:history="1">
            <w:r w:rsidR="00EE2E3F" w:rsidRPr="003A22D3">
              <w:rPr>
                <w:rStyle w:val="Hyperlink"/>
                <w:rFonts w:ascii="Source Sans Pro" w:hAnsi="Source Sans Pro"/>
                <w:noProof/>
              </w:rPr>
              <w:t>G</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Student Success: Regional Living Wage</w:t>
            </w:r>
            <w:r w:rsidR="00EE2E3F">
              <w:rPr>
                <w:noProof/>
                <w:webHidden/>
              </w:rPr>
              <w:tab/>
            </w:r>
            <w:r w:rsidR="00EE2E3F">
              <w:rPr>
                <w:noProof/>
                <w:webHidden/>
              </w:rPr>
              <w:fldChar w:fldCharType="begin"/>
            </w:r>
            <w:r w:rsidR="00EE2E3F">
              <w:rPr>
                <w:noProof/>
                <w:webHidden/>
              </w:rPr>
              <w:instrText xml:space="preserve"> PAGEREF _Toc536798197 \h </w:instrText>
            </w:r>
            <w:r w:rsidR="00EE2E3F">
              <w:rPr>
                <w:noProof/>
                <w:webHidden/>
              </w:rPr>
            </w:r>
            <w:r w:rsidR="00EE2E3F">
              <w:rPr>
                <w:noProof/>
                <w:webHidden/>
              </w:rPr>
              <w:fldChar w:fldCharType="separate"/>
            </w:r>
            <w:r w:rsidR="00EE2E3F">
              <w:rPr>
                <w:noProof/>
                <w:webHidden/>
              </w:rPr>
              <w:t>12</w:t>
            </w:r>
            <w:r w:rsidR="00EE2E3F">
              <w:rPr>
                <w:noProof/>
                <w:webHidden/>
              </w:rPr>
              <w:fldChar w:fldCharType="end"/>
            </w:r>
          </w:hyperlink>
        </w:p>
        <w:p w14:paraId="03435E36" w14:textId="77777777" w:rsidR="00EE2E3F" w:rsidRDefault="00852030">
          <w:pPr>
            <w:pStyle w:val="TOC1"/>
            <w:rPr>
              <w:rFonts w:asciiTheme="minorHAnsi" w:eastAsiaTheme="minorEastAsia" w:hAnsiTheme="minorHAnsi" w:cstheme="minorBidi"/>
              <w:noProof/>
              <w:color w:val="auto"/>
            </w:rPr>
          </w:pPr>
          <w:hyperlink w:anchor="_Toc536798198" w:history="1">
            <w:r w:rsidR="00EE2E3F" w:rsidRPr="003A22D3">
              <w:rPr>
                <w:rStyle w:val="Hyperlink"/>
                <w:rFonts w:ascii="Source Sans Pro" w:hAnsi="Source Sans Pro"/>
                <w:noProof/>
              </w:rPr>
              <w:t>H</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Student Success: Students with Multiple Success Outcomes</w:t>
            </w:r>
            <w:r w:rsidR="00EE2E3F">
              <w:rPr>
                <w:noProof/>
                <w:webHidden/>
              </w:rPr>
              <w:tab/>
            </w:r>
            <w:r w:rsidR="00EE2E3F">
              <w:rPr>
                <w:noProof/>
                <w:webHidden/>
              </w:rPr>
              <w:fldChar w:fldCharType="begin"/>
            </w:r>
            <w:r w:rsidR="00EE2E3F">
              <w:rPr>
                <w:noProof/>
                <w:webHidden/>
              </w:rPr>
              <w:instrText xml:space="preserve"> PAGEREF _Toc536798198 \h </w:instrText>
            </w:r>
            <w:r w:rsidR="00EE2E3F">
              <w:rPr>
                <w:noProof/>
                <w:webHidden/>
              </w:rPr>
            </w:r>
            <w:r w:rsidR="00EE2E3F">
              <w:rPr>
                <w:noProof/>
                <w:webHidden/>
              </w:rPr>
              <w:fldChar w:fldCharType="separate"/>
            </w:r>
            <w:r w:rsidR="00EE2E3F">
              <w:rPr>
                <w:noProof/>
                <w:webHidden/>
              </w:rPr>
              <w:t>13</w:t>
            </w:r>
            <w:r w:rsidR="00EE2E3F">
              <w:rPr>
                <w:noProof/>
                <w:webHidden/>
              </w:rPr>
              <w:fldChar w:fldCharType="end"/>
            </w:r>
          </w:hyperlink>
        </w:p>
        <w:p w14:paraId="4A81FE81" w14:textId="77777777" w:rsidR="00EE2E3F" w:rsidRDefault="00852030">
          <w:pPr>
            <w:pStyle w:val="TOC1"/>
            <w:rPr>
              <w:rFonts w:asciiTheme="minorHAnsi" w:eastAsiaTheme="minorEastAsia" w:hAnsiTheme="minorHAnsi" w:cstheme="minorBidi"/>
              <w:noProof/>
              <w:color w:val="auto"/>
            </w:rPr>
          </w:pPr>
          <w:hyperlink w:anchor="_Toc536798199" w:history="1">
            <w:r w:rsidR="00EE2E3F" w:rsidRPr="003A22D3">
              <w:rPr>
                <w:rStyle w:val="Hyperlink"/>
                <w:rFonts w:ascii="Source Sans Pro" w:hAnsi="Source Sans Pro"/>
                <w:noProof/>
              </w:rPr>
              <w:t>I</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Funding Amounts and Timing</w:t>
            </w:r>
            <w:r w:rsidR="00EE2E3F">
              <w:rPr>
                <w:noProof/>
                <w:webHidden/>
              </w:rPr>
              <w:tab/>
            </w:r>
            <w:r w:rsidR="00EE2E3F">
              <w:rPr>
                <w:noProof/>
                <w:webHidden/>
              </w:rPr>
              <w:fldChar w:fldCharType="begin"/>
            </w:r>
            <w:r w:rsidR="00EE2E3F">
              <w:rPr>
                <w:noProof/>
                <w:webHidden/>
              </w:rPr>
              <w:instrText xml:space="preserve"> PAGEREF _Toc536798199 \h </w:instrText>
            </w:r>
            <w:r w:rsidR="00EE2E3F">
              <w:rPr>
                <w:noProof/>
                <w:webHidden/>
              </w:rPr>
            </w:r>
            <w:r w:rsidR="00EE2E3F">
              <w:rPr>
                <w:noProof/>
                <w:webHidden/>
              </w:rPr>
              <w:fldChar w:fldCharType="separate"/>
            </w:r>
            <w:r w:rsidR="00EE2E3F">
              <w:rPr>
                <w:noProof/>
                <w:webHidden/>
              </w:rPr>
              <w:t>15</w:t>
            </w:r>
            <w:r w:rsidR="00EE2E3F">
              <w:rPr>
                <w:noProof/>
                <w:webHidden/>
              </w:rPr>
              <w:fldChar w:fldCharType="end"/>
            </w:r>
          </w:hyperlink>
        </w:p>
        <w:p w14:paraId="780D803E" w14:textId="77777777" w:rsidR="00EE2E3F" w:rsidRDefault="00852030">
          <w:pPr>
            <w:pStyle w:val="TOC1"/>
            <w:rPr>
              <w:rFonts w:asciiTheme="minorHAnsi" w:eastAsiaTheme="minorEastAsia" w:hAnsiTheme="minorHAnsi" w:cstheme="minorBidi"/>
              <w:noProof/>
              <w:color w:val="auto"/>
            </w:rPr>
          </w:pPr>
          <w:hyperlink w:anchor="_Toc536798200" w:history="1">
            <w:r w:rsidR="00EE2E3F" w:rsidRPr="003A22D3">
              <w:rPr>
                <w:rStyle w:val="Hyperlink"/>
                <w:rFonts w:ascii="Source Sans Pro" w:hAnsi="Source Sans Pro"/>
                <w:noProof/>
              </w:rPr>
              <w:t>J</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Hold Harmless</w:t>
            </w:r>
            <w:r w:rsidR="00EE2E3F">
              <w:rPr>
                <w:noProof/>
                <w:webHidden/>
              </w:rPr>
              <w:tab/>
            </w:r>
            <w:r w:rsidR="00EE2E3F">
              <w:rPr>
                <w:noProof/>
                <w:webHidden/>
              </w:rPr>
              <w:fldChar w:fldCharType="begin"/>
            </w:r>
            <w:r w:rsidR="00EE2E3F">
              <w:rPr>
                <w:noProof/>
                <w:webHidden/>
              </w:rPr>
              <w:instrText xml:space="preserve"> PAGEREF _Toc536798200 \h </w:instrText>
            </w:r>
            <w:r w:rsidR="00EE2E3F">
              <w:rPr>
                <w:noProof/>
                <w:webHidden/>
              </w:rPr>
            </w:r>
            <w:r w:rsidR="00EE2E3F">
              <w:rPr>
                <w:noProof/>
                <w:webHidden/>
              </w:rPr>
              <w:fldChar w:fldCharType="separate"/>
            </w:r>
            <w:r w:rsidR="00EE2E3F">
              <w:rPr>
                <w:noProof/>
                <w:webHidden/>
              </w:rPr>
              <w:t>17</w:t>
            </w:r>
            <w:r w:rsidR="00EE2E3F">
              <w:rPr>
                <w:noProof/>
                <w:webHidden/>
              </w:rPr>
              <w:fldChar w:fldCharType="end"/>
            </w:r>
          </w:hyperlink>
        </w:p>
        <w:p w14:paraId="38FDB226" w14:textId="77777777" w:rsidR="00EE2E3F" w:rsidRDefault="00852030">
          <w:pPr>
            <w:pStyle w:val="TOC1"/>
            <w:rPr>
              <w:rFonts w:asciiTheme="minorHAnsi" w:eastAsiaTheme="minorEastAsia" w:hAnsiTheme="minorHAnsi" w:cstheme="minorBidi"/>
              <w:noProof/>
              <w:color w:val="auto"/>
            </w:rPr>
          </w:pPr>
          <w:hyperlink w:anchor="_Toc536798201" w:history="1">
            <w:r w:rsidR="00EE2E3F" w:rsidRPr="003A22D3">
              <w:rPr>
                <w:rStyle w:val="Hyperlink"/>
                <w:rFonts w:ascii="Source Sans Pro" w:hAnsi="Source Sans Pro"/>
                <w:noProof/>
              </w:rPr>
              <w:t>K</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Where to Find Data and Information</w:t>
            </w:r>
            <w:r w:rsidR="00EE2E3F">
              <w:rPr>
                <w:noProof/>
                <w:webHidden/>
              </w:rPr>
              <w:tab/>
            </w:r>
            <w:r w:rsidR="00EE2E3F">
              <w:rPr>
                <w:noProof/>
                <w:webHidden/>
              </w:rPr>
              <w:fldChar w:fldCharType="begin"/>
            </w:r>
            <w:r w:rsidR="00EE2E3F">
              <w:rPr>
                <w:noProof/>
                <w:webHidden/>
              </w:rPr>
              <w:instrText xml:space="preserve"> PAGEREF _Toc536798201 \h </w:instrText>
            </w:r>
            <w:r w:rsidR="00EE2E3F">
              <w:rPr>
                <w:noProof/>
                <w:webHidden/>
              </w:rPr>
            </w:r>
            <w:r w:rsidR="00EE2E3F">
              <w:rPr>
                <w:noProof/>
                <w:webHidden/>
              </w:rPr>
              <w:fldChar w:fldCharType="separate"/>
            </w:r>
            <w:r w:rsidR="00EE2E3F">
              <w:rPr>
                <w:noProof/>
                <w:webHidden/>
              </w:rPr>
              <w:t>18</w:t>
            </w:r>
            <w:r w:rsidR="00EE2E3F">
              <w:rPr>
                <w:noProof/>
                <w:webHidden/>
              </w:rPr>
              <w:fldChar w:fldCharType="end"/>
            </w:r>
          </w:hyperlink>
        </w:p>
        <w:p w14:paraId="77A83DBC" w14:textId="77777777" w:rsidR="00EE2E3F" w:rsidRDefault="00852030">
          <w:pPr>
            <w:pStyle w:val="TOC1"/>
            <w:rPr>
              <w:rFonts w:asciiTheme="minorHAnsi" w:eastAsiaTheme="minorEastAsia" w:hAnsiTheme="minorHAnsi" w:cstheme="minorBidi"/>
              <w:noProof/>
              <w:color w:val="auto"/>
            </w:rPr>
          </w:pPr>
          <w:hyperlink w:anchor="_Toc536798202" w:history="1">
            <w:r w:rsidR="00EE2E3F" w:rsidRPr="003A22D3">
              <w:rPr>
                <w:rStyle w:val="Hyperlink"/>
                <w:rFonts w:ascii="Source Sans Pro" w:hAnsi="Source Sans Pro"/>
                <w:noProof/>
              </w:rPr>
              <w:t>L</w:t>
            </w:r>
            <w:r w:rsidR="00EE2E3F">
              <w:rPr>
                <w:rFonts w:asciiTheme="minorHAnsi" w:eastAsiaTheme="minorEastAsia" w:hAnsiTheme="minorHAnsi" w:cstheme="minorBidi"/>
                <w:noProof/>
                <w:color w:val="auto"/>
              </w:rPr>
              <w:tab/>
            </w:r>
            <w:r w:rsidR="00EE2E3F" w:rsidRPr="003A22D3">
              <w:rPr>
                <w:rStyle w:val="Hyperlink"/>
                <w:rFonts w:ascii="Source Sans Pro" w:hAnsi="Source Sans Pro"/>
                <w:noProof/>
              </w:rPr>
              <w:t>Monitoring and Implementation</w:t>
            </w:r>
            <w:r w:rsidR="00EE2E3F">
              <w:rPr>
                <w:noProof/>
                <w:webHidden/>
              </w:rPr>
              <w:tab/>
            </w:r>
            <w:r w:rsidR="00EE2E3F">
              <w:rPr>
                <w:noProof/>
                <w:webHidden/>
              </w:rPr>
              <w:fldChar w:fldCharType="begin"/>
            </w:r>
            <w:r w:rsidR="00EE2E3F">
              <w:rPr>
                <w:noProof/>
                <w:webHidden/>
              </w:rPr>
              <w:instrText xml:space="preserve"> PAGEREF _Toc536798202 \h </w:instrText>
            </w:r>
            <w:r w:rsidR="00EE2E3F">
              <w:rPr>
                <w:noProof/>
                <w:webHidden/>
              </w:rPr>
            </w:r>
            <w:r w:rsidR="00EE2E3F">
              <w:rPr>
                <w:noProof/>
                <w:webHidden/>
              </w:rPr>
              <w:fldChar w:fldCharType="separate"/>
            </w:r>
            <w:r w:rsidR="00EE2E3F">
              <w:rPr>
                <w:noProof/>
                <w:webHidden/>
              </w:rPr>
              <w:t>19</w:t>
            </w:r>
            <w:r w:rsidR="00EE2E3F">
              <w:rPr>
                <w:noProof/>
                <w:webHidden/>
              </w:rPr>
              <w:fldChar w:fldCharType="end"/>
            </w:r>
          </w:hyperlink>
        </w:p>
        <w:p w14:paraId="0C553EA6" w14:textId="77777777" w:rsidR="00947BFD" w:rsidRPr="00CF29BB" w:rsidRDefault="00947BFD">
          <w:pPr>
            <w:rPr>
              <w:rFonts w:ascii="Source Sans Pro" w:hAnsi="Source Sans Pro"/>
            </w:rPr>
          </w:pPr>
          <w:r w:rsidRPr="00CF29BB">
            <w:rPr>
              <w:rFonts w:ascii="Source Sans Pro" w:hAnsi="Source Sans Pro"/>
              <w:b/>
              <w:bCs/>
              <w:noProof/>
            </w:rPr>
            <w:fldChar w:fldCharType="end"/>
          </w:r>
        </w:p>
      </w:sdtContent>
    </w:sdt>
    <w:p w14:paraId="3D5128C4" w14:textId="77777777" w:rsidR="007A61BE" w:rsidRPr="00CF29BB" w:rsidRDefault="007A61BE" w:rsidP="007A61BE">
      <w:pPr>
        <w:spacing w:after="438"/>
        <w:ind w:left="499" w:right="0"/>
        <w:rPr>
          <w:rFonts w:ascii="Source Sans Pro" w:hAnsi="Source Sans Pro"/>
        </w:rPr>
      </w:pPr>
    </w:p>
    <w:p w14:paraId="6D95C576" w14:textId="77777777" w:rsidR="007A61BE" w:rsidRPr="00CF29BB" w:rsidRDefault="007A61BE" w:rsidP="007A61BE">
      <w:pPr>
        <w:spacing w:after="438"/>
        <w:ind w:left="499" w:right="0"/>
        <w:rPr>
          <w:rFonts w:ascii="Source Sans Pro" w:hAnsi="Source Sans Pro"/>
        </w:rPr>
      </w:pPr>
    </w:p>
    <w:p w14:paraId="25C52D0A" w14:textId="77777777" w:rsidR="007A61BE" w:rsidRPr="00CF29BB" w:rsidRDefault="00EE2E3F" w:rsidP="00EE2E3F">
      <w:pPr>
        <w:tabs>
          <w:tab w:val="left" w:pos="8790"/>
        </w:tabs>
        <w:spacing w:after="438"/>
        <w:ind w:left="499" w:right="0"/>
        <w:rPr>
          <w:rFonts w:ascii="Source Sans Pro" w:hAnsi="Source Sans Pro"/>
        </w:rPr>
      </w:pPr>
      <w:r>
        <w:rPr>
          <w:rFonts w:ascii="Source Sans Pro" w:hAnsi="Source Sans Pro"/>
        </w:rPr>
        <w:tab/>
      </w:r>
      <w:r>
        <w:rPr>
          <w:rFonts w:ascii="Source Sans Pro" w:hAnsi="Source Sans Pro"/>
        </w:rPr>
        <w:tab/>
      </w:r>
    </w:p>
    <w:p w14:paraId="185DA523" w14:textId="77777777" w:rsidR="007A61BE" w:rsidRPr="00CF29BB" w:rsidRDefault="00EE2E3F" w:rsidP="00EE2E3F">
      <w:pPr>
        <w:tabs>
          <w:tab w:val="left" w:pos="8790"/>
        </w:tabs>
        <w:spacing w:after="438"/>
        <w:ind w:left="499" w:right="0"/>
        <w:rPr>
          <w:rFonts w:ascii="Source Sans Pro" w:hAnsi="Source Sans Pro"/>
        </w:rPr>
        <w:sectPr w:rsidR="007A61BE" w:rsidRPr="00CF29BB">
          <w:footerReference w:type="even" r:id="rId8"/>
          <w:footerReference w:type="default" r:id="rId9"/>
          <w:footerReference w:type="first" r:id="rId10"/>
          <w:pgSz w:w="12240" w:h="15840"/>
          <w:pgMar w:top="1445" w:right="1434" w:bottom="1573" w:left="936" w:header="720" w:footer="721" w:gutter="0"/>
          <w:cols w:space="720"/>
        </w:sectPr>
      </w:pPr>
      <w:r>
        <w:rPr>
          <w:rFonts w:ascii="Source Sans Pro" w:hAnsi="Source Sans Pro"/>
        </w:rPr>
        <w:tab/>
      </w:r>
    </w:p>
    <w:p w14:paraId="5B94F4A6" w14:textId="77777777" w:rsidR="007A61BE" w:rsidRPr="00CF29BB" w:rsidRDefault="007A61BE" w:rsidP="00BB1EA7">
      <w:pPr>
        <w:pStyle w:val="Heading1"/>
        <w:numPr>
          <w:ilvl w:val="0"/>
          <w:numId w:val="5"/>
        </w:numPr>
        <w:rPr>
          <w:rFonts w:ascii="Source Sans Pro" w:hAnsi="Source Sans Pro"/>
          <w:color w:val="002F6D"/>
        </w:rPr>
      </w:pPr>
      <w:bookmarkStart w:id="1" w:name="_Toc536798191"/>
      <w:r w:rsidRPr="00CF29BB">
        <w:rPr>
          <w:rFonts w:ascii="Source Sans Pro" w:hAnsi="Source Sans Pro"/>
          <w:color w:val="002F6D"/>
        </w:rPr>
        <w:lastRenderedPageBreak/>
        <w:t>Introduct</w:t>
      </w:r>
      <w:r w:rsidR="0002588D">
        <w:rPr>
          <w:rFonts w:ascii="Source Sans Pro" w:hAnsi="Source Sans Pro"/>
          <w:color w:val="002F6D"/>
        </w:rPr>
        <w:t>ion</w:t>
      </w:r>
      <w:bookmarkEnd w:id="1"/>
      <w:r w:rsidRPr="00CF29BB">
        <w:rPr>
          <w:rFonts w:ascii="Source Sans Pro" w:hAnsi="Source Sans Pro"/>
          <w:color w:val="002F6D"/>
        </w:rPr>
        <w:t xml:space="preserve"> </w:t>
      </w:r>
    </w:p>
    <w:p w14:paraId="7C7A6256" w14:textId="77777777" w:rsidR="007A61BE" w:rsidRPr="000767D3" w:rsidRDefault="007A61BE" w:rsidP="000767D3">
      <w:pPr>
        <w:pStyle w:val="Heading2"/>
      </w:pPr>
      <w:bookmarkStart w:id="2" w:name="_Toc518053112"/>
      <w:r w:rsidRPr="000767D3">
        <w:t xml:space="preserve"> What is the purpose of changing the funding formula?</w:t>
      </w:r>
      <w:bookmarkEnd w:id="2"/>
      <w:r w:rsidRPr="000767D3">
        <w:t xml:space="preserve"> </w:t>
      </w:r>
    </w:p>
    <w:p w14:paraId="7E1B7BDE" w14:textId="77777777" w:rsidR="007A61BE" w:rsidRPr="00CF29BB" w:rsidRDefault="007A61BE" w:rsidP="007A61BE">
      <w:pPr>
        <w:spacing w:after="156"/>
        <w:ind w:left="499" w:right="0"/>
        <w:rPr>
          <w:rFonts w:ascii="Source Sans Pro" w:hAnsi="Source Sans Pro"/>
        </w:rPr>
      </w:pPr>
      <w:r w:rsidRPr="00CF29BB">
        <w:rPr>
          <w:rFonts w:ascii="Source Sans Pro" w:hAnsi="Source Sans Pro"/>
        </w:rPr>
        <w:t>The California Community College</w:t>
      </w:r>
      <w:r w:rsidR="005E1BE5">
        <w:rPr>
          <w:rFonts w:ascii="Source Sans Pro" w:hAnsi="Source Sans Pro"/>
        </w:rPr>
        <w:t>s</w:t>
      </w:r>
      <w:r w:rsidRPr="00CF29BB">
        <w:rPr>
          <w:rFonts w:ascii="Source Sans Pro" w:hAnsi="Source Sans Pro"/>
        </w:rPr>
        <w:t xml:space="preserve">, </w:t>
      </w:r>
      <w:r w:rsidR="005E1BE5">
        <w:rPr>
          <w:rFonts w:ascii="Source Sans Pro" w:hAnsi="Source Sans Pro"/>
        </w:rPr>
        <w:t>which enroll more than</w:t>
      </w:r>
      <w:r w:rsidRPr="00CF29BB">
        <w:rPr>
          <w:rFonts w:ascii="Source Sans Pro" w:hAnsi="Source Sans Pro"/>
        </w:rPr>
        <w:t xml:space="preserve"> 2.2 million students, has a mission that includes providing educational access and opportunity</w:t>
      </w:r>
      <w:r w:rsidR="005E1BE5">
        <w:rPr>
          <w:rFonts w:ascii="Source Sans Pro" w:hAnsi="Source Sans Pro"/>
        </w:rPr>
        <w:t xml:space="preserve"> broadly</w:t>
      </w:r>
      <w:r w:rsidRPr="00CF29BB">
        <w:rPr>
          <w:rFonts w:ascii="Source Sans Pro" w:hAnsi="Source Sans Pro"/>
        </w:rPr>
        <w:t xml:space="preserve">, </w:t>
      </w:r>
      <w:r w:rsidR="005E1BE5" w:rsidRPr="00CF29BB">
        <w:rPr>
          <w:rFonts w:ascii="Source Sans Pro" w:hAnsi="Source Sans Pro"/>
        </w:rPr>
        <w:t xml:space="preserve">reducing equity gaps, </w:t>
      </w:r>
      <w:r w:rsidRPr="00CF29BB">
        <w:rPr>
          <w:rFonts w:ascii="Source Sans Pro" w:hAnsi="Source Sans Pro"/>
        </w:rPr>
        <w:t xml:space="preserve">and strengthening the state’s economy. The system </w:t>
      </w:r>
      <w:r w:rsidR="0002588D">
        <w:rPr>
          <w:rFonts w:ascii="Source Sans Pro" w:hAnsi="Source Sans Pro"/>
        </w:rPr>
        <w:t>continues</w:t>
      </w:r>
      <w:r w:rsidRPr="00CF29BB">
        <w:rPr>
          <w:rFonts w:ascii="Source Sans Pro" w:hAnsi="Source Sans Pro"/>
        </w:rPr>
        <w:t xml:space="preserve"> to face challenges in pursuing this mission: too few students reach their educational goals, and others take far too long to do so; access and achievement gaps exist for low-income and students of color; older and working adults are often left behind.</w:t>
      </w:r>
    </w:p>
    <w:p w14:paraId="7F6BF2F3" w14:textId="77777777" w:rsidR="007A61BE" w:rsidRPr="00CF29BB" w:rsidRDefault="007A61BE" w:rsidP="007A61BE">
      <w:pPr>
        <w:ind w:left="499" w:right="0"/>
        <w:rPr>
          <w:rFonts w:ascii="Source Sans Pro" w:hAnsi="Source Sans Pro"/>
        </w:rPr>
      </w:pPr>
      <w:r w:rsidRPr="00CF29BB">
        <w:rPr>
          <w:rFonts w:ascii="Source Sans Pro" w:hAnsi="Source Sans Pro"/>
        </w:rPr>
        <w:t>The objective of the Student Centered Funding Formula (SCFF) is to mitigate these challenges. The SCFF encourages access for underrepresented students, provides additional funding in recognition of the need to provide additional support for low-income students, rewards colleges’ progress on improving student success, and improves overall equity and predictability so that community college districts may more readily plan and implement instruction and programs.</w:t>
      </w:r>
    </w:p>
    <w:p w14:paraId="6B54457E" w14:textId="77777777" w:rsidR="007A61BE" w:rsidRPr="00CF29BB" w:rsidRDefault="007A61BE" w:rsidP="007A61BE">
      <w:pPr>
        <w:pStyle w:val="Heading2"/>
      </w:pPr>
      <w:bookmarkStart w:id="3" w:name="_Toc518053113"/>
      <w:r w:rsidRPr="00CF29BB">
        <w:rPr>
          <w:rFonts w:eastAsia="Calibri"/>
        </w:rPr>
        <w:t xml:space="preserve">How is the new formula different from the </w:t>
      </w:r>
      <w:r w:rsidR="005E1BE5">
        <w:rPr>
          <w:rFonts w:eastAsia="Calibri"/>
        </w:rPr>
        <w:t>prior</w:t>
      </w:r>
      <w:r w:rsidR="005E1BE5" w:rsidRPr="00CF29BB">
        <w:rPr>
          <w:rFonts w:eastAsia="Calibri"/>
        </w:rPr>
        <w:t xml:space="preserve"> </w:t>
      </w:r>
      <w:r w:rsidRPr="00CF29BB">
        <w:rPr>
          <w:rFonts w:eastAsia="Calibri"/>
        </w:rPr>
        <w:t>formula?</w:t>
      </w:r>
      <w:bookmarkEnd w:id="3"/>
      <w:r w:rsidRPr="00CF29BB">
        <w:rPr>
          <w:rFonts w:eastAsia="Calibri"/>
        </w:rPr>
        <w:t xml:space="preserve"> </w:t>
      </w:r>
    </w:p>
    <w:p w14:paraId="1AFADE4C" w14:textId="77777777" w:rsidR="007A61BE" w:rsidRPr="00CF29BB" w:rsidRDefault="005E1BE5" w:rsidP="00EE2E3F">
      <w:pPr>
        <w:spacing w:after="158"/>
        <w:ind w:left="499" w:right="0"/>
        <w:rPr>
          <w:rFonts w:ascii="Source Sans Pro" w:hAnsi="Source Sans Pro"/>
        </w:rPr>
      </w:pPr>
      <w:r>
        <w:rPr>
          <w:rFonts w:ascii="Source Sans Pro" w:hAnsi="Source Sans Pro"/>
        </w:rPr>
        <w:t xml:space="preserve">The SCFF broadens the factors that are used to allocate general funds to community college districts. </w:t>
      </w:r>
      <w:r w:rsidR="007A61BE" w:rsidRPr="00CF29BB">
        <w:rPr>
          <w:rFonts w:ascii="Source Sans Pro" w:hAnsi="Source Sans Pro"/>
        </w:rPr>
        <w:t xml:space="preserve">The SCFF has a three-pronged focus: </w:t>
      </w:r>
      <w:r>
        <w:rPr>
          <w:rFonts w:ascii="Source Sans Pro" w:hAnsi="Source Sans Pro"/>
        </w:rPr>
        <w:t>a</w:t>
      </w:r>
      <w:r w:rsidR="007A61BE" w:rsidRPr="00CF29BB">
        <w:rPr>
          <w:rFonts w:ascii="Source Sans Pro" w:hAnsi="Source Sans Pro"/>
        </w:rPr>
        <w:t xml:space="preserve">ccess, </w:t>
      </w:r>
      <w:r>
        <w:rPr>
          <w:rFonts w:ascii="Source Sans Pro" w:hAnsi="Source Sans Pro"/>
        </w:rPr>
        <w:t>e</w:t>
      </w:r>
      <w:r w:rsidR="007A61BE" w:rsidRPr="00CF29BB">
        <w:rPr>
          <w:rFonts w:ascii="Source Sans Pro" w:hAnsi="Source Sans Pro"/>
        </w:rPr>
        <w:t xml:space="preserve">quity, and </w:t>
      </w:r>
      <w:r>
        <w:rPr>
          <w:rFonts w:ascii="Source Sans Pro" w:hAnsi="Source Sans Pro"/>
        </w:rPr>
        <w:t>s</w:t>
      </w:r>
      <w:r w:rsidR="007A61BE" w:rsidRPr="00CF29BB">
        <w:rPr>
          <w:rFonts w:ascii="Source Sans Pro" w:hAnsi="Source Sans Pro"/>
        </w:rPr>
        <w:t xml:space="preserve">uccess. </w:t>
      </w:r>
      <w:r>
        <w:rPr>
          <w:rFonts w:ascii="Source Sans Pro" w:hAnsi="Source Sans Pro"/>
        </w:rPr>
        <w:t>The prior formula largely focused on enrollment factors—with the primary goal of supporting access.</w:t>
      </w:r>
      <w:r w:rsidR="007A61BE" w:rsidRPr="00CF29BB">
        <w:rPr>
          <w:rFonts w:ascii="Source Sans Pro" w:hAnsi="Source Sans Pro"/>
        </w:rPr>
        <w:t xml:space="preserve"> </w:t>
      </w:r>
    </w:p>
    <w:p w14:paraId="252ED643" w14:textId="77777777" w:rsidR="007A61BE" w:rsidRPr="00CF29BB" w:rsidRDefault="007A61BE" w:rsidP="007A61BE">
      <w:pPr>
        <w:pStyle w:val="Heading2"/>
      </w:pPr>
      <w:bookmarkStart w:id="4" w:name="_Toc518053114"/>
      <w:r w:rsidRPr="00CF29BB">
        <w:rPr>
          <w:rFonts w:eastAsia="Arial" w:cs="Arial"/>
        </w:rPr>
        <w:t xml:space="preserve"> </w:t>
      </w:r>
      <w:r w:rsidRPr="00CF29BB">
        <w:rPr>
          <w:rFonts w:eastAsia="Calibri"/>
        </w:rPr>
        <w:t>What are the components of the SCFF?</w:t>
      </w:r>
      <w:bookmarkEnd w:id="4"/>
      <w:r w:rsidRPr="00CF29BB">
        <w:rPr>
          <w:rFonts w:eastAsia="Calibri"/>
        </w:rPr>
        <w:t xml:space="preserve"> </w:t>
      </w:r>
    </w:p>
    <w:p w14:paraId="10DE9B37" w14:textId="77777777" w:rsidR="007A61BE" w:rsidRPr="00CF29BB" w:rsidRDefault="007A61BE" w:rsidP="007A61BE">
      <w:pPr>
        <w:ind w:left="499" w:right="0"/>
        <w:rPr>
          <w:rFonts w:ascii="Source Sans Pro" w:hAnsi="Source Sans Pro"/>
        </w:rPr>
      </w:pPr>
      <w:r w:rsidRPr="00CF29BB">
        <w:rPr>
          <w:rFonts w:ascii="Source Sans Pro" w:hAnsi="Source Sans Pro"/>
        </w:rPr>
        <w:t>There are three major components</w:t>
      </w:r>
      <w:r w:rsidR="005E1BE5">
        <w:rPr>
          <w:rFonts w:ascii="Source Sans Pro" w:hAnsi="Source Sans Pro"/>
        </w:rPr>
        <w:t xml:space="preserve"> of the SCFF</w:t>
      </w:r>
      <w:r w:rsidRPr="00CF29BB">
        <w:rPr>
          <w:rFonts w:ascii="Source Sans Pro" w:hAnsi="Source Sans Pro"/>
        </w:rPr>
        <w:t xml:space="preserve">. First, the Base Allocation </w:t>
      </w:r>
      <w:r w:rsidR="005E1BE5">
        <w:rPr>
          <w:rFonts w:ascii="Source Sans Pro" w:hAnsi="Source Sans Pro"/>
        </w:rPr>
        <w:t xml:space="preserve">is intended to </w:t>
      </w:r>
      <w:r w:rsidR="006C2FDE">
        <w:rPr>
          <w:rFonts w:ascii="Source Sans Pro" w:hAnsi="Source Sans Pro"/>
        </w:rPr>
        <w:t>promote broad access to the community colleges</w:t>
      </w:r>
      <w:r w:rsidRPr="00CF29BB">
        <w:rPr>
          <w:rFonts w:ascii="Source Sans Pro" w:hAnsi="Source Sans Pro"/>
        </w:rPr>
        <w:t xml:space="preserve">. It is determined </w:t>
      </w:r>
      <w:r w:rsidR="006C2FDE">
        <w:rPr>
          <w:rFonts w:ascii="Source Sans Pro" w:hAnsi="Source Sans Pro"/>
        </w:rPr>
        <w:t>based on</w:t>
      </w:r>
      <w:r w:rsidR="006C2FDE" w:rsidRPr="00CF29BB">
        <w:rPr>
          <w:rFonts w:ascii="Source Sans Pro" w:hAnsi="Source Sans Pro"/>
        </w:rPr>
        <w:t xml:space="preserve"> </w:t>
      </w:r>
      <w:r w:rsidRPr="00CF29BB">
        <w:rPr>
          <w:rFonts w:ascii="Source Sans Pro" w:hAnsi="Source Sans Pro"/>
        </w:rPr>
        <w:t xml:space="preserve">district </w:t>
      </w:r>
      <w:r w:rsidR="006C2FDE">
        <w:rPr>
          <w:rFonts w:ascii="Source Sans Pro" w:hAnsi="Source Sans Pro"/>
        </w:rPr>
        <w:t>enrollment,</w:t>
      </w:r>
      <w:r w:rsidR="00997E4F">
        <w:rPr>
          <w:rFonts w:ascii="Source Sans Pro" w:hAnsi="Source Sans Pro"/>
        </w:rPr>
        <w:t xml:space="preserve"> </w:t>
      </w:r>
      <w:r w:rsidR="00572EE6">
        <w:rPr>
          <w:rFonts w:ascii="Source Sans Pro" w:hAnsi="Source Sans Pro"/>
        </w:rPr>
        <w:t>distinguishing enrollment</w:t>
      </w:r>
      <w:r w:rsidR="006C2FDE">
        <w:rPr>
          <w:rFonts w:ascii="Source Sans Pro" w:hAnsi="Source Sans Pro"/>
        </w:rPr>
        <w:t xml:space="preserve"> in different types of courses, </w:t>
      </w:r>
      <w:r w:rsidRPr="00CF29BB">
        <w:rPr>
          <w:rFonts w:ascii="Source Sans Pro" w:hAnsi="Source Sans Pro"/>
        </w:rPr>
        <w:t xml:space="preserve">and district size. Second, the </w:t>
      </w:r>
      <w:r w:rsidR="00B53386" w:rsidRPr="00CF29BB">
        <w:rPr>
          <w:rFonts w:ascii="Source Sans Pro" w:hAnsi="Source Sans Pro"/>
        </w:rPr>
        <w:t>Supplemental Allocation</w:t>
      </w:r>
      <w:r w:rsidRPr="00CF29BB">
        <w:rPr>
          <w:rFonts w:ascii="Source Sans Pro" w:hAnsi="Source Sans Pro"/>
        </w:rPr>
        <w:t xml:space="preserve"> </w:t>
      </w:r>
      <w:r w:rsidR="00B649C8">
        <w:rPr>
          <w:rFonts w:ascii="Source Sans Pro" w:hAnsi="Source Sans Pro"/>
        </w:rPr>
        <w:t>r</w:t>
      </w:r>
      <w:r w:rsidR="006C2FDE">
        <w:rPr>
          <w:rFonts w:ascii="Source Sans Pro" w:hAnsi="Source Sans Pro"/>
        </w:rPr>
        <w:t>ecognizes that districts must provide additional support to remove barriers to access and success for certain groups of students</w:t>
      </w:r>
      <w:r w:rsidRPr="00CF29BB">
        <w:rPr>
          <w:rFonts w:ascii="Source Sans Pro" w:hAnsi="Source Sans Pro"/>
        </w:rPr>
        <w:t xml:space="preserve">. It is determined </w:t>
      </w:r>
      <w:r w:rsidR="006C2FDE">
        <w:rPr>
          <w:rFonts w:ascii="Source Sans Pro" w:hAnsi="Source Sans Pro"/>
        </w:rPr>
        <w:t>based on</w:t>
      </w:r>
      <w:r w:rsidR="006C2FDE" w:rsidRPr="00CF29BB">
        <w:rPr>
          <w:rFonts w:ascii="Source Sans Pro" w:hAnsi="Source Sans Pro"/>
        </w:rPr>
        <w:t xml:space="preserve"> </w:t>
      </w:r>
      <w:r w:rsidRPr="00CF29BB">
        <w:rPr>
          <w:rFonts w:ascii="Source Sans Pro" w:hAnsi="Source Sans Pro"/>
        </w:rPr>
        <w:t xml:space="preserve">the number of low-income students in a district. Third, the Student Success Allocation </w:t>
      </w:r>
      <w:r w:rsidR="006C2FDE">
        <w:rPr>
          <w:rFonts w:ascii="Source Sans Pro" w:hAnsi="Source Sans Pro"/>
        </w:rPr>
        <w:t xml:space="preserve">encourages progress on outcomes linked to the goals included in the </w:t>
      </w:r>
      <w:r w:rsidR="006564A6" w:rsidRPr="006564A6">
        <w:rPr>
          <w:rFonts w:ascii="Source Sans Pro" w:hAnsi="Source Sans Pro"/>
          <w:i/>
        </w:rPr>
        <w:t>Vision for Success</w:t>
      </w:r>
      <w:r w:rsidRPr="00CF29BB">
        <w:rPr>
          <w:rFonts w:ascii="Source Sans Pro" w:hAnsi="Source Sans Pro"/>
        </w:rPr>
        <w:t xml:space="preserve">. It is determined </w:t>
      </w:r>
      <w:r w:rsidR="006C2FDE">
        <w:rPr>
          <w:rFonts w:ascii="Source Sans Pro" w:hAnsi="Source Sans Pro"/>
        </w:rPr>
        <w:t>based on</w:t>
      </w:r>
      <w:r w:rsidR="006C2FDE" w:rsidRPr="00CF29BB">
        <w:rPr>
          <w:rFonts w:ascii="Source Sans Pro" w:hAnsi="Source Sans Pro"/>
        </w:rPr>
        <w:t xml:space="preserve"> </w:t>
      </w:r>
      <w:r w:rsidR="006C2FDE">
        <w:rPr>
          <w:rFonts w:ascii="Source Sans Pro" w:hAnsi="Source Sans Pro"/>
        </w:rPr>
        <w:t>counts of those outcomes at each district</w:t>
      </w:r>
      <w:r w:rsidRPr="00CF29BB">
        <w:rPr>
          <w:rFonts w:ascii="Source Sans Pro" w:hAnsi="Source Sans Pro"/>
        </w:rPr>
        <w:t xml:space="preserve">. </w:t>
      </w:r>
    </w:p>
    <w:p w14:paraId="46F53C69" w14:textId="77777777" w:rsidR="007A61BE" w:rsidRPr="00CF29BB" w:rsidRDefault="007A61BE" w:rsidP="007A61BE">
      <w:pPr>
        <w:pStyle w:val="Heading2"/>
      </w:pPr>
      <w:bookmarkStart w:id="5" w:name="_Toc518053115"/>
      <w:r w:rsidRPr="00CF29BB">
        <w:rPr>
          <w:rFonts w:eastAsia="Calibri"/>
        </w:rPr>
        <w:t>How were the allocation percentages of the SCFF determined?</w:t>
      </w:r>
      <w:bookmarkEnd w:id="5"/>
      <w:r w:rsidRPr="00CF29BB">
        <w:rPr>
          <w:rFonts w:eastAsia="Calibri"/>
        </w:rPr>
        <w:t xml:space="preserve"> </w:t>
      </w:r>
    </w:p>
    <w:p w14:paraId="491B6129" w14:textId="77777777" w:rsidR="007A61BE" w:rsidRPr="00CF29BB" w:rsidRDefault="00135FE5" w:rsidP="007A61BE">
      <w:pPr>
        <w:spacing w:after="154"/>
        <w:ind w:left="499" w:right="0"/>
        <w:rPr>
          <w:rFonts w:ascii="Source Sans Pro" w:hAnsi="Source Sans Pro"/>
        </w:rPr>
      </w:pPr>
      <w:r>
        <w:rPr>
          <w:rFonts w:ascii="Source Sans Pro" w:hAnsi="Source Sans Pro"/>
        </w:rPr>
        <w:t xml:space="preserve">The allocation percentages were designed in a way </w:t>
      </w:r>
      <w:r w:rsidR="006C2FDE" w:rsidRPr="00E41F3D">
        <w:rPr>
          <w:rFonts w:ascii="Source Sans Pro" w:hAnsi="Source Sans Pro"/>
        </w:rPr>
        <w:t>that the</w:t>
      </w:r>
      <w:r w:rsidR="00E41F3D">
        <w:rPr>
          <w:rFonts w:ascii="Source Sans Pro" w:hAnsi="Source Sans Pro"/>
        </w:rPr>
        <w:t xml:space="preserve"> </w:t>
      </w:r>
      <w:r w:rsidR="006C2FDE" w:rsidRPr="00E41F3D">
        <w:rPr>
          <w:rFonts w:ascii="Source Sans Pro" w:hAnsi="Source Sans Pro"/>
        </w:rPr>
        <w:t>funding rates for each of the factors be determined based on a policy framework that</w:t>
      </w:r>
      <w:r w:rsidR="006C2FDE" w:rsidRPr="0083561A">
        <w:rPr>
          <w:rFonts w:ascii="Source Sans Pro" w:hAnsi="Source Sans Pro"/>
        </w:rPr>
        <w:t xml:space="preserve"> divide</w:t>
      </w:r>
      <w:r w:rsidR="0002588D" w:rsidRPr="0083561A">
        <w:rPr>
          <w:rFonts w:ascii="Source Sans Pro" w:hAnsi="Source Sans Pro"/>
        </w:rPr>
        <w:t>s</w:t>
      </w:r>
      <w:r w:rsidR="006C2FDE" w:rsidRPr="0083561A">
        <w:rPr>
          <w:rFonts w:ascii="Source Sans Pro" w:hAnsi="Source Sans Pro"/>
        </w:rPr>
        <w:t xml:space="preserve"> up the total amount of funds allocated across the three allocations. Specifically, the framework is</w:t>
      </w:r>
      <w:r w:rsidR="006C2FDE">
        <w:rPr>
          <w:rFonts w:ascii="Source Sans Pro" w:hAnsi="Source Sans Pro"/>
        </w:rPr>
        <w:t xml:space="preserve"> designed so that—in 2018-19—about 70 percent of the total funds allocated statewide </w:t>
      </w:r>
      <w:r w:rsidR="0002588D">
        <w:rPr>
          <w:rFonts w:ascii="Source Sans Pro" w:hAnsi="Source Sans Pro"/>
        </w:rPr>
        <w:t>is</w:t>
      </w:r>
      <w:r w:rsidR="006C2FDE">
        <w:rPr>
          <w:rFonts w:ascii="Source Sans Pro" w:hAnsi="Source Sans Pro"/>
        </w:rPr>
        <w:t xml:space="preserve"> for the Base Allocation, 20 percent </w:t>
      </w:r>
      <w:r w:rsidR="0002588D">
        <w:rPr>
          <w:rFonts w:ascii="Source Sans Pro" w:hAnsi="Source Sans Pro"/>
        </w:rPr>
        <w:t>is</w:t>
      </w:r>
      <w:r w:rsidR="006C2FDE">
        <w:rPr>
          <w:rFonts w:ascii="Source Sans Pro" w:hAnsi="Source Sans Pro"/>
        </w:rPr>
        <w:t xml:space="preserve"> for the Supplemental Allocation, and 10 percent </w:t>
      </w:r>
      <w:r w:rsidR="0002588D">
        <w:rPr>
          <w:rFonts w:ascii="Source Sans Pro" w:hAnsi="Source Sans Pro"/>
        </w:rPr>
        <w:t>is</w:t>
      </w:r>
      <w:r w:rsidR="006C2FDE">
        <w:rPr>
          <w:rFonts w:ascii="Source Sans Pro" w:hAnsi="Source Sans Pro"/>
        </w:rPr>
        <w:t xml:space="preserve"> for the Student Success Allocation. In 2019-20, under the framework, th</w:t>
      </w:r>
      <w:r w:rsidR="0002588D">
        <w:rPr>
          <w:rFonts w:ascii="Source Sans Pro" w:hAnsi="Source Sans Pro"/>
        </w:rPr>
        <w:t>e</w:t>
      </w:r>
      <w:r w:rsidR="006C2FDE">
        <w:rPr>
          <w:rFonts w:ascii="Source Sans Pro" w:hAnsi="Source Sans Pro"/>
        </w:rPr>
        <w:t>se percentages w</w:t>
      </w:r>
      <w:r w:rsidR="0002588D">
        <w:rPr>
          <w:rFonts w:ascii="Source Sans Pro" w:hAnsi="Source Sans Pro"/>
        </w:rPr>
        <w:t>ill</w:t>
      </w:r>
      <w:r w:rsidR="006C2FDE">
        <w:rPr>
          <w:rFonts w:ascii="Source Sans Pro" w:hAnsi="Source Sans Pro"/>
        </w:rPr>
        <w:t xml:space="preserve"> change: 65 percent for the Base Allocation, 20 percent for the Supplemental Allocation, and 15 percent for the Student Success Allocation. In 2020-21, under the framework, the percentages w</w:t>
      </w:r>
      <w:r w:rsidR="0002588D">
        <w:rPr>
          <w:rFonts w:ascii="Source Sans Pro" w:hAnsi="Source Sans Pro"/>
        </w:rPr>
        <w:t>ill</w:t>
      </w:r>
      <w:r w:rsidR="006C2FDE">
        <w:rPr>
          <w:rFonts w:ascii="Source Sans Pro" w:hAnsi="Source Sans Pro"/>
        </w:rPr>
        <w:t xml:space="preserve"> change again: 60 percent for the Base Allocation, 20 percent for the Supplemental Allocation, and 20 percent for the Student Success Allocation.</w:t>
      </w:r>
    </w:p>
    <w:p w14:paraId="3A6B33A4" w14:textId="77777777" w:rsidR="007A61BE" w:rsidRPr="00CF29BB" w:rsidRDefault="007A61BE" w:rsidP="007A61BE">
      <w:pPr>
        <w:pStyle w:val="Heading2"/>
        <w:rPr>
          <w:rFonts w:eastAsia="Calibri" w:cs="Calibri"/>
        </w:rPr>
      </w:pPr>
      <w:bookmarkStart w:id="6" w:name="_Toc518053116"/>
      <w:r w:rsidRPr="00CF29BB">
        <w:lastRenderedPageBreak/>
        <w:t>Why are the allocation percentages changing in coming years?</w:t>
      </w:r>
      <w:bookmarkEnd w:id="6"/>
      <w:r w:rsidRPr="00CF29BB">
        <w:rPr>
          <w:rFonts w:eastAsia="Calibri" w:cs="Calibri"/>
        </w:rPr>
        <w:t xml:space="preserve"> </w:t>
      </w:r>
    </w:p>
    <w:p w14:paraId="3DA8FAF0" w14:textId="77777777" w:rsidR="007A61BE" w:rsidRPr="00CF29BB" w:rsidRDefault="007A61BE" w:rsidP="007A61BE">
      <w:pPr>
        <w:rPr>
          <w:rFonts w:ascii="Source Sans Pro" w:hAnsi="Source Sans Pro"/>
        </w:rPr>
      </w:pPr>
      <w:r w:rsidRPr="00CF29BB">
        <w:rPr>
          <w:rFonts w:ascii="Source Sans Pro" w:hAnsi="Source Sans Pro"/>
        </w:rPr>
        <w:t xml:space="preserve">The allocation percentages are changing </w:t>
      </w:r>
      <w:r w:rsidR="005005E8">
        <w:rPr>
          <w:rFonts w:ascii="Source Sans Pro" w:hAnsi="Source Sans Pro"/>
        </w:rPr>
        <w:t>to continue to place greater emphasis on improving</w:t>
      </w:r>
      <w:r w:rsidRPr="00CF29BB">
        <w:rPr>
          <w:rFonts w:ascii="Source Sans Pro" w:hAnsi="Source Sans Pro"/>
        </w:rPr>
        <w:t xml:space="preserve"> student success. The gradual shift will allow districts to adjust strategies, programs and practices in order to align with the SCFF and </w:t>
      </w:r>
      <w:r w:rsidR="006564A6" w:rsidRPr="006564A6">
        <w:rPr>
          <w:rFonts w:ascii="Source Sans Pro" w:hAnsi="Source Sans Pro"/>
          <w:i/>
        </w:rPr>
        <w:t>Vision</w:t>
      </w:r>
      <w:r w:rsidRPr="00CF29BB">
        <w:rPr>
          <w:rFonts w:ascii="Source Sans Pro" w:hAnsi="Source Sans Pro"/>
        </w:rPr>
        <w:t>.</w:t>
      </w:r>
    </w:p>
    <w:p w14:paraId="16AF934B" w14:textId="77777777" w:rsidR="007A61BE" w:rsidRPr="00CF29BB" w:rsidRDefault="007A61BE" w:rsidP="007A61BE">
      <w:pPr>
        <w:pStyle w:val="Heading2"/>
      </w:pPr>
      <w:bookmarkStart w:id="7" w:name="_Toc518053117"/>
      <w:r w:rsidRPr="00CF29BB">
        <w:t xml:space="preserve">How is the SCFF related to the </w:t>
      </w:r>
      <w:r w:rsidR="006564A6" w:rsidRPr="006564A6">
        <w:rPr>
          <w:i/>
        </w:rPr>
        <w:t>Vision for Success</w:t>
      </w:r>
      <w:r w:rsidRPr="00CF29BB">
        <w:t>?</w:t>
      </w:r>
      <w:bookmarkEnd w:id="7"/>
    </w:p>
    <w:p w14:paraId="68B2705F" w14:textId="77777777" w:rsidR="00BB1EA7" w:rsidRPr="00CF29BB" w:rsidRDefault="007A61BE" w:rsidP="0040658D">
      <w:pPr>
        <w:rPr>
          <w:rFonts w:ascii="Source Sans Pro" w:hAnsi="Source Sans Pro"/>
        </w:rPr>
      </w:pPr>
      <w:r w:rsidRPr="00CF29BB">
        <w:rPr>
          <w:rFonts w:ascii="Source Sans Pro" w:hAnsi="Source Sans Pro"/>
        </w:rPr>
        <w:t>The</w:t>
      </w:r>
      <w:r w:rsidR="005005E8">
        <w:rPr>
          <w:rFonts w:ascii="Source Sans Pro" w:hAnsi="Source Sans Pro"/>
        </w:rPr>
        <w:t xml:space="preserve"> SCFF align</w:t>
      </w:r>
      <w:r w:rsidR="002A1CC8">
        <w:rPr>
          <w:rFonts w:ascii="Source Sans Pro" w:hAnsi="Source Sans Pro"/>
        </w:rPr>
        <w:t>s</w:t>
      </w:r>
      <w:r w:rsidR="005005E8">
        <w:rPr>
          <w:rFonts w:ascii="Source Sans Pro" w:hAnsi="Source Sans Pro"/>
        </w:rPr>
        <w:t xml:space="preserve"> state finances with the</w:t>
      </w:r>
      <w:r w:rsidRPr="00CF29BB">
        <w:rPr>
          <w:rFonts w:ascii="Source Sans Pro" w:hAnsi="Source Sans Pro"/>
        </w:rPr>
        <w:t xml:space="preserve"> </w:t>
      </w:r>
      <w:r w:rsidRPr="00CF29BB">
        <w:rPr>
          <w:rFonts w:ascii="Source Sans Pro" w:hAnsi="Source Sans Pro"/>
          <w:i/>
        </w:rPr>
        <w:t>Vision</w:t>
      </w:r>
      <w:r w:rsidR="005005E8" w:rsidRPr="00B649C8">
        <w:rPr>
          <w:rFonts w:ascii="Source Sans Pro" w:hAnsi="Source Sans Pro"/>
        </w:rPr>
        <w:t>. Notably, the</w:t>
      </w:r>
      <w:r w:rsidR="005005E8">
        <w:rPr>
          <w:rFonts w:ascii="Source Sans Pro" w:hAnsi="Source Sans Pro"/>
        </w:rPr>
        <w:t xml:space="preserve"> </w:t>
      </w:r>
      <w:r w:rsidR="005005E8" w:rsidRPr="00B649C8">
        <w:rPr>
          <w:rFonts w:ascii="Source Sans Pro" w:hAnsi="Source Sans Pro"/>
          <w:i/>
        </w:rPr>
        <w:t>Vision</w:t>
      </w:r>
      <w:r w:rsidR="005005E8">
        <w:rPr>
          <w:rFonts w:ascii="Source Sans Pro" w:hAnsi="Source Sans Pro"/>
        </w:rPr>
        <w:t xml:space="preserve"> commits to </w:t>
      </w:r>
      <w:r w:rsidR="00187282">
        <w:rPr>
          <w:rFonts w:ascii="Source Sans Pro" w:hAnsi="Source Sans Pro"/>
        </w:rPr>
        <w:t xml:space="preserve">improving specific outcomes—related to awards, transfer, and labor market outcomes—and </w:t>
      </w:r>
      <w:r w:rsidR="005005E8">
        <w:rPr>
          <w:rFonts w:ascii="Source Sans Pro" w:hAnsi="Source Sans Pro"/>
        </w:rPr>
        <w:t>closing</w:t>
      </w:r>
      <w:r w:rsidR="005005E8" w:rsidRPr="00B649C8">
        <w:rPr>
          <w:rFonts w:ascii="Source Sans Pro" w:hAnsi="Source Sans Pro"/>
        </w:rPr>
        <w:t xml:space="preserve"> </w:t>
      </w:r>
      <w:r w:rsidRPr="00CF29BB">
        <w:rPr>
          <w:rFonts w:ascii="Source Sans Pro" w:hAnsi="Source Sans Pro"/>
        </w:rPr>
        <w:t>achievement gaps</w:t>
      </w:r>
      <w:r w:rsidR="005005E8">
        <w:rPr>
          <w:rFonts w:ascii="Source Sans Pro" w:hAnsi="Source Sans Pro"/>
        </w:rPr>
        <w:t xml:space="preserve">. The </w:t>
      </w:r>
      <w:r w:rsidRPr="00CF29BB">
        <w:rPr>
          <w:rFonts w:ascii="Source Sans Pro" w:hAnsi="Source Sans Pro"/>
        </w:rPr>
        <w:t xml:space="preserve">SCFF </w:t>
      </w:r>
      <w:r w:rsidR="005005E8">
        <w:rPr>
          <w:rFonts w:ascii="Source Sans Pro" w:hAnsi="Source Sans Pro"/>
        </w:rPr>
        <w:t>provides</w:t>
      </w:r>
      <w:r w:rsidRPr="00CF29BB">
        <w:rPr>
          <w:rFonts w:ascii="Source Sans Pro" w:hAnsi="Source Sans Pro"/>
        </w:rPr>
        <w:t xml:space="preserve"> additional funding for districts to enroll low-income students </w:t>
      </w:r>
      <w:r w:rsidR="005005E8">
        <w:rPr>
          <w:rFonts w:ascii="Source Sans Pro" w:hAnsi="Source Sans Pro"/>
        </w:rPr>
        <w:t xml:space="preserve">and to help </w:t>
      </w:r>
      <w:r w:rsidRPr="00CF29BB">
        <w:rPr>
          <w:rFonts w:ascii="Source Sans Pro" w:hAnsi="Source Sans Pro"/>
        </w:rPr>
        <w:t xml:space="preserve">those students succeed. </w:t>
      </w:r>
      <w:r w:rsidR="005005E8" w:rsidRPr="00135FE5">
        <w:rPr>
          <w:rFonts w:ascii="Source Sans Pro" w:hAnsi="Source Sans Pro"/>
        </w:rPr>
        <w:t xml:space="preserve">Further, </w:t>
      </w:r>
      <w:r w:rsidR="003E07D3" w:rsidRPr="00032D30">
        <w:rPr>
          <w:rFonts w:ascii="Source Sans Pro" w:hAnsi="Source Sans Pro"/>
        </w:rPr>
        <w:t>current statute</w:t>
      </w:r>
      <w:r w:rsidR="005005E8" w:rsidRPr="00135FE5">
        <w:rPr>
          <w:rFonts w:ascii="Source Sans Pro" w:hAnsi="Source Sans Pro"/>
        </w:rPr>
        <w:t xml:space="preserve"> requires</w:t>
      </w:r>
      <w:r w:rsidRPr="00135FE5">
        <w:rPr>
          <w:rFonts w:ascii="Source Sans Pro" w:hAnsi="Source Sans Pro"/>
        </w:rPr>
        <w:t xml:space="preserve"> </w:t>
      </w:r>
      <w:r w:rsidR="00EE0B29" w:rsidRPr="00135FE5">
        <w:rPr>
          <w:rFonts w:ascii="Source Sans Pro" w:hAnsi="Source Sans Pro"/>
        </w:rPr>
        <w:t xml:space="preserve">districts </w:t>
      </w:r>
      <w:r w:rsidRPr="00135FE5">
        <w:rPr>
          <w:rFonts w:ascii="Source Sans Pro" w:hAnsi="Source Sans Pro"/>
        </w:rPr>
        <w:t xml:space="preserve">to set goals that are aligned with the systemwide goals established in the </w:t>
      </w:r>
      <w:r w:rsidRPr="00135FE5">
        <w:rPr>
          <w:rFonts w:ascii="Source Sans Pro" w:hAnsi="Source Sans Pro"/>
          <w:i/>
        </w:rPr>
        <w:t>Vision</w:t>
      </w:r>
      <w:r w:rsidRPr="00135FE5">
        <w:rPr>
          <w:rFonts w:ascii="Source Sans Pro" w:hAnsi="Source Sans Pro"/>
        </w:rPr>
        <w:t>.</w:t>
      </w:r>
    </w:p>
    <w:p w14:paraId="208DDB55" w14:textId="77777777" w:rsidR="007A61BE" w:rsidRPr="00CF29BB" w:rsidRDefault="007A61BE" w:rsidP="007A61BE">
      <w:pPr>
        <w:pStyle w:val="Heading1"/>
        <w:ind w:left="-5"/>
        <w:rPr>
          <w:rFonts w:ascii="Source Sans Pro" w:hAnsi="Source Sans Pro"/>
          <w:color w:val="002F6D"/>
        </w:rPr>
      </w:pPr>
      <w:bookmarkStart w:id="8" w:name="_Toc536798192"/>
      <w:r w:rsidRPr="00CF29BB">
        <w:rPr>
          <w:rFonts w:ascii="Source Sans Pro" w:hAnsi="Source Sans Pro"/>
          <w:color w:val="002F6D"/>
        </w:rPr>
        <w:t>Base Allocation</w:t>
      </w:r>
      <w:bookmarkEnd w:id="8"/>
      <w:r w:rsidRPr="00CF29BB">
        <w:rPr>
          <w:rFonts w:ascii="Source Sans Pro" w:hAnsi="Source Sans Pro"/>
          <w:color w:val="002F6D"/>
        </w:rPr>
        <w:t xml:space="preserve">  </w:t>
      </w:r>
    </w:p>
    <w:p w14:paraId="7D241827" w14:textId="77777777" w:rsidR="007A61BE" w:rsidRPr="00CF29BB" w:rsidRDefault="007A61BE" w:rsidP="007A61BE">
      <w:pPr>
        <w:pStyle w:val="Heading2"/>
      </w:pPr>
      <w:bookmarkStart w:id="9" w:name="_Toc518053119"/>
      <w:r w:rsidRPr="00CF29BB">
        <w:rPr>
          <w:rFonts w:eastAsia="Calibri"/>
        </w:rPr>
        <w:t>What is the Base Allocation?</w:t>
      </w:r>
      <w:bookmarkEnd w:id="9"/>
      <w:r w:rsidRPr="00CF29BB">
        <w:rPr>
          <w:rFonts w:eastAsia="Calibri"/>
        </w:rPr>
        <w:t xml:space="preserve"> </w:t>
      </w:r>
    </w:p>
    <w:p w14:paraId="6CBF8CEC" w14:textId="77777777" w:rsidR="00023975" w:rsidRDefault="007A61BE" w:rsidP="00023975">
      <w:pPr>
        <w:ind w:left="499" w:right="0"/>
        <w:rPr>
          <w:rFonts w:ascii="Source Sans Pro" w:hAnsi="Source Sans Pro"/>
        </w:rPr>
      </w:pPr>
      <w:r w:rsidRPr="00CF29BB">
        <w:rPr>
          <w:rFonts w:ascii="Source Sans Pro" w:hAnsi="Source Sans Pro"/>
        </w:rPr>
        <w:t>The Base Allocation is the enrollment-based component</w:t>
      </w:r>
      <w:r w:rsidR="005005E8">
        <w:rPr>
          <w:rFonts w:ascii="Source Sans Pro" w:hAnsi="Source Sans Pro"/>
        </w:rPr>
        <w:t xml:space="preserve"> of the funding formula. Its provisions are </w:t>
      </w:r>
      <w:r w:rsidRPr="00CF29BB">
        <w:rPr>
          <w:rFonts w:ascii="Source Sans Pro" w:hAnsi="Source Sans Pro"/>
        </w:rPr>
        <w:t xml:space="preserve">similar to the </w:t>
      </w:r>
      <w:r w:rsidR="005005E8">
        <w:rPr>
          <w:rFonts w:ascii="Source Sans Pro" w:hAnsi="Source Sans Pro"/>
        </w:rPr>
        <w:t>prior</w:t>
      </w:r>
      <w:r w:rsidR="005005E8" w:rsidRPr="00CF29BB">
        <w:rPr>
          <w:rFonts w:ascii="Source Sans Pro" w:hAnsi="Source Sans Pro"/>
        </w:rPr>
        <w:t xml:space="preserve"> </w:t>
      </w:r>
      <w:r w:rsidRPr="00CF29BB">
        <w:rPr>
          <w:rFonts w:ascii="Source Sans Pro" w:hAnsi="Source Sans Pro"/>
        </w:rPr>
        <w:t xml:space="preserve">funding formula. The Base Allocation is the sum of the </w:t>
      </w:r>
      <w:r w:rsidR="009D2B10" w:rsidRPr="00CF29BB">
        <w:rPr>
          <w:rFonts w:ascii="Source Sans Pro" w:hAnsi="Source Sans Pro"/>
        </w:rPr>
        <w:t>Basic Allocation</w:t>
      </w:r>
      <w:r w:rsidRPr="00CF29BB">
        <w:rPr>
          <w:rFonts w:ascii="Source Sans Pro" w:hAnsi="Source Sans Pro"/>
        </w:rPr>
        <w:t xml:space="preserve"> funding (</w:t>
      </w:r>
      <w:r w:rsidR="005005E8">
        <w:rPr>
          <w:rFonts w:ascii="Source Sans Pro" w:hAnsi="Source Sans Pro"/>
        </w:rPr>
        <w:t xml:space="preserve">which is based on </w:t>
      </w:r>
      <w:r w:rsidRPr="00CF29BB">
        <w:rPr>
          <w:rFonts w:ascii="Source Sans Pro" w:hAnsi="Source Sans Pro"/>
        </w:rPr>
        <w:t xml:space="preserve">the number of colleges and centers in a district </w:t>
      </w:r>
      <w:r w:rsidR="005005E8">
        <w:rPr>
          <w:rFonts w:ascii="Source Sans Pro" w:hAnsi="Source Sans Pro"/>
        </w:rPr>
        <w:t>and</w:t>
      </w:r>
      <w:r w:rsidRPr="00CF29BB">
        <w:rPr>
          <w:rFonts w:ascii="Source Sans Pro" w:hAnsi="Source Sans Pro"/>
        </w:rPr>
        <w:t xml:space="preserve"> its size) and the funding for</w:t>
      </w:r>
      <w:r w:rsidR="00A36D66">
        <w:rPr>
          <w:rFonts w:ascii="Source Sans Pro" w:hAnsi="Source Sans Pro"/>
        </w:rPr>
        <w:t xml:space="preserve"> enrollment in</w:t>
      </w:r>
      <w:r w:rsidRPr="00CF29BB">
        <w:rPr>
          <w:rFonts w:ascii="Source Sans Pro" w:hAnsi="Source Sans Pro"/>
        </w:rPr>
        <w:t xml:space="preserve"> </w:t>
      </w:r>
      <w:r w:rsidR="005005E8">
        <w:rPr>
          <w:rFonts w:ascii="Source Sans Pro" w:hAnsi="Source Sans Pro"/>
        </w:rPr>
        <w:t>c</w:t>
      </w:r>
      <w:r w:rsidRPr="00CF29BB">
        <w:rPr>
          <w:rFonts w:ascii="Source Sans Pro" w:hAnsi="Source Sans Pro"/>
        </w:rPr>
        <w:t xml:space="preserve">redit, </w:t>
      </w:r>
      <w:r w:rsidR="005005E8">
        <w:rPr>
          <w:rFonts w:ascii="Source Sans Pro" w:hAnsi="Source Sans Pro"/>
        </w:rPr>
        <w:t>nonc</w:t>
      </w:r>
      <w:r w:rsidRPr="00CF29BB">
        <w:rPr>
          <w:rFonts w:ascii="Source Sans Pro" w:hAnsi="Source Sans Pro"/>
        </w:rPr>
        <w:t xml:space="preserve">redit, </w:t>
      </w:r>
      <w:r w:rsidR="00A36D66">
        <w:rPr>
          <w:rFonts w:ascii="Source Sans Pro" w:hAnsi="Source Sans Pro"/>
        </w:rPr>
        <w:t>and career development and college preparation (CDCP) noncredit courses</w:t>
      </w:r>
      <w:r w:rsidRPr="00CF29BB">
        <w:rPr>
          <w:rFonts w:ascii="Source Sans Pro" w:hAnsi="Source Sans Pro"/>
        </w:rPr>
        <w:t xml:space="preserve">, </w:t>
      </w:r>
      <w:r w:rsidR="00A36D66">
        <w:rPr>
          <w:rFonts w:ascii="Source Sans Pro" w:hAnsi="Source Sans Pro"/>
        </w:rPr>
        <w:t>as well as enrollment of special admit students and inmates in correctional facilities.</w:t>
      </w:r>
      <w:bookmarkStart w:id="10" w:name="_Toc518053120"/>
    </w:p>
    <w:p w14:paraId="0B8E2436" w14:textId="77777777" w:rsidR="007A61BE" w:rsidRPr="00CF29BB" w:rsidRDefault="007A61BE" w:rsidP="00023975">
      <w:pPr>
        <w:pStyle w:val="Heading2"/>
        <w:rPr>
          <w:rStyle w:val="Heading2Char"/>
        </w:rPr>
      </w:pPr>
      <w:r w:rsidRPr="00CF29BB">
        <w:rPr>
          <w:rStyle w:val="Heading2Char"/>
        </w:rPr>
        <w:t xml:space="preserve">Under the new formula, is current year FTES or a </w:t>
      </w:r>
      <w:r w:rsidR="00A36D66" w:rsidRPr="00CF29BB">
        <w:rPr>
          <w:rStyle w:val="Heading2Char"/>
        </w:rPr>
        <w:t>multiple</w:t>
      </w:r>
      <w:r w:rsidR="00A36D66">
        <w:rPr>
          <w:rStyle w:val="Heading2Char"/>
        </w:rPr>
        <w:t>-</w:t>
      </w:r>
      <w:r w:rsidRPr="00CF29BB">
        <w:rPr>
          <w:rStyle w:val="Heading2Char"/>
        </w:rPr>
        <w:t>year average FTES used to determine</w:t>
      </w:r>
      <w:bookmarkEnd w:id="10"/>
      <w:r w:rsidRPr="00CF29BB">
        <w:rPr>
          <w:b/>
          <w:sz w:val="24"/>
        </w:rPr>
        <w:t xml:space="preserve"> </w:t>
      </w:r>
      <w:r w:rsidRPr="00CF29BB">
        <w:rPr>
          <w:rStyle w:val="Heading2Char"/>
        </w:rPr>
        <w:t xml:space="preserve">funding? </w:t>
      </w:r>
    </w:p>
    <w:p w14:paraId="670FE370" w14:textId="77777777" w:rsidR="00023975" w:rsidRDefault="007A61BE" w:rsidP="00023975">
      <w:pPr>
        <w:ind w:left="499" w:right="0"/>
        <w:rPr>
          <w:rFonts w:ascii="Source Sans Pro" w:hAnsi="Source Sans Pro"/>
        </w:rPr>
      </w:pPr>
      <w:r w:rsidRPr="00CF29BB">
        <w:rPr>
          <w:rFonts w:ascii="Source Sans Pro" w:hAnsi="Source Sans Pro"/>
        </w:rPr>
        <w:t>Under the SCFF</w:t>
      </w:r>
      <w:r w:rsidR="00A36D66">
        <w:rPr>
          <w:rFonts w:ascii="Source Sans Pro" w:hAnsi="Source Sans Pro"/>
        </w:rPr>
        <w:t>, c</w:t>
      </w:r>
      <w:r w:rsidR="00A36D66" w:rsidRPr="00CF29BB">
        <w:rPr>
          <w:rFonts w:ascii="Source Sans Pro" w:hAnsi="Source Sans Pro"/>
        </w:rPr>
        <w:t xml:space="preserve">redit </w:t>
      </w:r>
      <w:r w:rsidRPr="00CF29BB">
        <w:rPr>
          <w:rFonts w:ascii="Source Sans Pro" w:hAnsi="Source Sans Pro"/>
        </w:rPr>
        <w:t>FTES</w:t>
      </w:r>
      <w:r w:rsidR="00A36D66">
        <w:rPr>
          <w:rFonts w:ascii="Source Sans Pro" w:hAnsi="Source Sans Pro"/>
        </w:rPr>
        <w:t xml:space="preserve"> </w:t>
      </w:r>
      <w:r w:rsidR="002A1CC8">
        <w:rPr>
          <w:rFonts w:ascii="Source Sans Pro" w:hAnsi="Source Sans Pro"/>
        </w:rPr>
        <w:t>is</w:t>
      </w:r>
      <w:r w:rsidR="00EE0B29">
        <w:rPr>
          <w:rFonts w:ascii="Source Sans Pro" w:hAnsi="Source Sans Pro"/>
        </w:rPr>
        <w:t xml:space="preserve"> funded using</w:t>
      </w:r>
      <w:r w:rsidR="00A36D66">
        <w:rPr>
          <w:rFonts w:ascii="Source Sans Pro" w:hAnsi="Source Sans Pro"/>
        </w:rPr>
        <w:t xml:space="preserve"> a three-year average</w:t>
      </w:r>
      <w:r w:rsidRPr="00CF29BB">
        <w:rPr>
          <w:rFonts w:ascii="Source Sans Pro" w:hAnsi="Source Sans Pro"/>
        </w:rPr>
        <w:t xml:space="preserve">. </w:t>
      </w:r>
      <w:r w:rsidR="00A36D66">
        <w:rPr>
          <w:rFonts w:ascii="Source Sans Pro" w:hAnsi="Source Sans Pro"/>
        </w:rPr>
        <w:t xml:space="preserve">For other enrollment, funding </w:t>
      </w:r>
      <w:r w:rsidR="002A1CC8">
        <w:rPr>
          <w:rFonts w:ascii="Source Sans Pro" w:hAnsi="Source Sans Pro"/>
        </w:rPr>
        <w:t>is</w:t>
      </w:r>
      <w:r w:rsidR="00572EE6">
        <w:rPr>
          <w:rFonts w:ascii="Source Sans Pro" w:hAnsi="Source Sans Pro"/>
        </w:rPr>
        <w:t xml:space="preserve"> </w:t>
      </w:r>
      <w:r w:rsidR="00A36D66">
        <w:rPr>
          <w:rFonts w:ascii="Source Sans Pro" w:hAnsi="Source Sans Pro"/>
        </w:rPr>
        <w:t>generally based on current-year enrollment</w:t>
      </w:r>
      <w:r w:rsidRPr="00CF29BB">
        <w:rPr>
          <w:rFonts w:ascii="Source Sans Pro" w:hAnsi="Source Sans Pro"/>
        </w:rPr>
        <w:t>.</w:t>
      </w:r>
      <w:bookmarkStart w:id="11" w:name="_Toc518053121"/>
    </w:p>
    <w:p w14:paraId="679525E3" w14:textId="77777777" w:rsidR="007A61BE" w:rsidRPr="00CF29BB" w:rsidRDefault="007A61BE" w:rsidP="00023975">
      <w:pPr>
        <w:pStyle w:val="Heading2"/>
      </w:pPr>
      <w:r w:rsidRPr="00CF29BB">
        <w:rPr>
          <w:rFonts w:eastAsia="Calibri"/>
        </w:rPr>
        <w:t xml:space="preserve">How is the </w:t>
      </w:r>
      <w:r w:rsidR="00A36D66">
        <w:rPr>
          <w:rFonts w:eastAsia="Calibri"/>
        </w:rPr>
        <w:t>three</w:t>
      </w:r>
      <w:r w:rsidR="00EE0B29">
        <w:rPr>
          <w:rFonts w:eastAsia="Calibri"/>
        </w:rPr>
        <w:t>-</w:t>
      </w:r>
      <w:r w:rsidR="004902FA">
        <w:rPr>
          <w:rFonts w:eastAsia="Calibri"/>
        </w:rPr>
        <w:t>year average</w:t>
      </w:r>
      <w:r w:rsidRPr="00CF29BB">
        <w:rPr>
          <w:rFonts w:eastAsia="Calibri"/>
        </w:rPr>
        <w:t xml:space="preserve"> of Credit FTES for funding calculated?</w:t>
      </w:r>
      <w:bookmarkEnd w:id="11"/>
      <w:r w:rsidRPr="00CF29BB">
        <w:rPr>
          <w:rFonts w:eastAsia="Calibri"/>
        </w:rPr>
        <w:t xml:space="preserve"> </w:t>
      </w:r>
    </w:p>
    <w:p w14:paraId="5FDB6C60" w14:textId="77777777" w:rsidR="00780547" w:rsidRPr="00CF29BB" w:rsidRDefault="00780547" w:rsidP="00780547">
      <w:pPr>
        <w:ind w:left="499"/>
        <w:rPr>
          <w:rFonts w:ascii="Source Sans Pro" w:eastAsiaTheme="minorHAnsi" w:hAnsi="Source Sans Pro" w:cs="Times New Roman"/>
          <w:color w:val="auto"/>
        </w:rPr>
      </w:pPr>
      <w:r w:rsidRPr="00CF29BB">
        <w:rPr>
          <w:rFonts w:ascii="Source Sans Pro" w:hAnsi="Source Sans Pro"/>
        </w:rPr>
        <w:t xml:space="preserve">First, </w:t>
      </w:r>
      <w:r w:rsidR="00EE0B29">
        <w:rPr>
          <w:rFonts w:ascii="Source Sans Pro" w:hAnsi="Source Sans Pro"/>
        </w:rPr>
        <w:t xml:space="preserve">a district </w:t>
      </w:r>
      <w:r w:rsidRPr="00CF29BB">
        <w:rPr>
          <w:rFonts w:ascii="Source Sans Pro" w:hAnsi="Source Sans Pro"/>
        </w:rPr>
        <w:t>determine</w:t>
      </w:r>
      <w:r w:rsidR="00EE0B29">
        <w:rPr>
          <w:rFonts w:ascii="Source Sans Pro" w:hAnsi="Source Sans Pro"/>
        </w:rPr>
        <w:t>s</w:t>
      </w:r>
      <w:r w:rsidRPr="00CF29BB">
        <w:rPr>
          <w:rFonts w:ascii="Source Sans Pro" w:hAnsi="Source Sans Pro"/>
        </w:rPr>
        <w:t xml:space="preserve"> </w:t>
      </w:r>
      <w:r w:rsidR="00AC04D8">
        <w:rPr>
          <w:rFonts w:ascii="Source Sans Pro" w:hAnsi="Source Sans Pro"/>
        </w:rPr>
        <w:t xml:space="preserve">the </w:t>
      </w:r>
      <w:r w:rsidRPr="00CF29BB">
        <w:rPr>
          <w:rFonts w:ascii="Source Sans Pro" w:hAnsi="Source Sans Pro"/>
        </w:rPr>
        <w:t>credit FTES amount for the current year</w:t>
      </w:r>
      <w:r w:rsidRPr="00E41F3D">
        <w:rPr>
          <w:rFonts w:ascii="Source Sans Pro" w:hAnsi="Source Sans Pro"/>
        </w:rPr>
        <w:t xml:space="preserve">.  </w:t>
      </w:r>
      <w:r w:rsidR="00A36D66" w:rsidRPr="00E41F3D">
        <w:rPr>
          <w:rFonts w:ascii="Source Sans Pro" w:hAnsi="Source Sans Pro"/>
        </w:rPr>
        <w:t xml:space="preserve">The </w:t>
      </w:r>
      <w:r w:rsidRPr="00E41F3D">
        <w:rPr>
          <w:rFonts w:ascii="Source Sans Pro" w:hAnsi="Source Sans Pro"/>
        </w:rPr>
        <w:t>FTES</w:t>
      </w:r>
      <w:r w:rsidR="00A36D66" w:rsidRPr="00E41F3D">
        <w:rPr>
          <w:rFonts w:ascii="Source Sans Pro" w:hAnsi="Source Sans Pro"/>
        </w:rPr>
        <w:t xml:space="preserve"> for the current year</w:t>
      </w:r>
      <w:r w:rsidRPr="00E41F3D">
        <w:rPr>
          <w:rFonts w:ascii="Source Sans Pro" w:hAnsi="Source Sans Pro"/>
        </w:rPr>
        <w:t xml:space="preserve"> will be the lesser of either FTES reported on the </w:t>
      </w:r>
      <w:r w:rsidR="00187282" w:rsidRPr="00E41F3D">
        <w:rPr>
          <w:rFonts w:ascii="Source Sans Pro" w:hAnsi="Source Sans Pro"/>
        </w:rPr>
        <w:t xml:space="preserve">Form </w:t>
      </w:r>
      <w:r w:rsidRPr="00E41F3D">
        <w:rPr>
          <w:rFonts w:ascii="Source Sans Pro" w:hAnsi="Source Sans Pro"/>
        </w:rPr>
        <w:t xml:space="preserve">320 reports OR the highest FTES applied in the previous </w:t>
      </w:r>
      <w:r w:rsidR="00EE0B29" w:rsidRPr="00135FE5">
        <w:rPr>
          <w:rFonts w:ascii="Source Sans Pro" w:hAnsi="Source Sans Pro"/>
        </w:rPr>
        <w:t>three</w:t>
      </w:r>
      <w:r w:rsidRPr="00135FE5">
        <w:rPr>
          <w:rFonts w:ascii="Source Sans Pro" w:hAnsi="Source Sans Pro"/>
        </w:rPr>
        <w:t xml:space="preserve"> years</w:t>
      </w:r>
      <w:r w:rsidR="00A36D66" w:rsidRPr="00135FE5">
        <w:rPr>
          <w:rFonts w:ascii="Source Sans Pro" w:hAnsi="Source Sans Pro"/>
        </w:rPr>
        <w:t>. This</w:t>
      </w:r>
      <w:r w:rsidRPr="00135FE5">
        <w:rPr>
          <w:rFonts w:ascii="Source Sans Pro" w:hAnsi="Source Sans Pro"/>
        </w:rPr>
        <w:t xml:space="preserve"> number is inclusive of the prior years’ funded growth. Second, </w:t>
      </w:r>
      <w:r w:rsidR="00A36D66" w:rsidRPr="00135FE5">
        <w:rPr>
          <w:rFonts w:ascii="Source Sans Pro" w:hAnsi="Source Sans Pro"/>
        </w:rPr>
        <w:t xml:space="preserve">the </w:t>
      </w:r>
      <w:r w:rsidRPr="00135FE5">
        <w:rPr>
          <w:rFonts w:ascii="Source Sans Pro" w:hAnsi="Source Sans Pro"/>
        </w:rPr>
        <w:t>FTES</w:t>
      </w:r>
      <w:r w:rsidR="00A36D66" w:rsidRPr="00135FE5">
        <w:rPr>
          <w:rFonts w:ascii="Source Sans Pro" w:hAnsi="Source Sans Pro"/>
        </w:rPr>
        <w:t xml:space="preserve"> for the current year</w:t>
      </w:r>
      <w:r w:rsidRPr="00135FE5">
        <w:rPr>
          <w:rFonts w:ascii="Source Sans Pro" w:hAnsi="Source Sans Pro"/>
        </w:rPr>
        <w:t xml:space="preserve"> is summed with the prior two years applied FTES numbers</w:t>
      </w:r>
      <w:r w:rsidR="00A36D66" w:rsidRPr="00135FE5">
        <w:rPr>
          <w:rFonts w:ascii="Source Sans Pro" w:hAnsi="Source Sans Pro"/>
        </w:rPr>
        <w:t>. For</w:t>
      </w:r>
      <w:r w:rsidR="00A36D66">
        <w:rPr>
          <w:rFonts w:ascii="Source Sans Pro" w:hAnsi="Source Sans Pro"/>
        </w:rPr>
        <w:t xml:space="preserve"> 2018-19, these years </w:t>
      </w:r>
      <w:r w:rsidR="00041E6A">
        <w:rPr>
          <w:rFonts w:ascii="Source Sans Pro" w:hAnsi="Source Sans Pro"/>
        </w:rPr>
        <w:t>will</w:t>
      </w:r>
      <w:r w:rsidR="00A36D66">
        <w:rPr>
          <w:rFonts w:ascii="Source Sans Pro" w:hAnsi="Source Sans Pro"/>
        </w:rPr>
        <w:t xml:space="preserve"> be 2016-17 and 2017-18. </w:t>
      </w:r>
      <w:r w:rsidRPr="00CF29BB">
        <w:rPr>
          <w:rFonts w:ascii="Source Sans Pro" w:hAnsi="Source Sans Pro"/>
        </w:rPr>
        <w:t>Third, this sum is then divided by three. This product produces the three-year average credit FTES number.</w:t>
      </w:r>
    </w:p>
    <w:p w14:paraId="7FD982D3" w14:textId="77777777" w:rsidR="00780547" w:rsidRPr="00CF29BB" w:rsidRDefault="00780547" w:rsidP="00780547">
      <w:pPr>
        <w:ind w:left="499"/>
        <w:rPr>
          <w:rFonts w:ascii="Source Sans Pro" w:hAnsi="Source Sans Pro"/>
        </w:rPr>
      </w:pPr>
      <w:r w:rsidRPr="00CF29BB">
        <w:rPr>
          <w:rFonts w:ascii="Source Sans Pro" w:hAnsi="Source Sans Pro"/>
        </w:rPr>
        <w:t xml:space="preserve">Credit FTES growth is then calculated from the three-year average credit FTES number.  The sum of </w:t>
      </w:r>
      <w:r w:rsidR="00AC04D8">
        <w:rPr>
          <w:rFonts w:ascii="Source Sans Pro" w:hAnsi="Source Sans Pro"/>
        </w:rPr>
        <w:t>the</w:t>
      </w:r>
      <w:r w:rsidRPr="00CF29BB">
        <w:rPr>
          <w:rFonts w:ascii="Source Sans Pro" w:hAnsi="Source Sans Pro"/>
        </w:rPr>
        <w:t xml:space="preserve"> growth FTES plus the three-year average credit FTES number equals </w:t>
      </w:r>
      <w:r w:rsidR="00AC04D8">
        <w:rPr>
          <w:rFonts w:ascii="Source Sans Pro" w:hAnsi="Source Sans Pro"/>
        </w:rPr>
        <w:t>the</w:t>
      </w:r>
      <w:r w:rsidRPr="00CF29BB">
        <w:rPr>
          <w:rFonts w:ascii="Source Sans Pro" w:hAnsi="Source Sans Pro"/>
        </w:rPr>
        <w:t xml:space="preserve"> district’s potential growth FTES. </w:t>
      </w:r>
    </w:p>
    <w:p w14:paraId="567CE4B1" w14:textId="77777777" w:rsidR="007A61BE" w:rsidRPr="00CF29BB" w:rsidRDefault="007A61BE" w:rsidP="007A61BE">
      <w:pPr>
        <w:ind w:left="499" w:right="0"/>
        <w:rPr>
          <w:rFonts w:ascii="Source Sans Pro" w:hAnsi="Source Sans Pro"/>
        </w:rPr>
      </w:pPr>
      <w:r w:rsidRPr="00CF29BB">
        <w:rPr>
          <w:rFonts w:ascii="Source Sans Pro" w:hAnsi="Source Sans Pro"/>
        </w:rPr>
        <w:t>For example, refer to the Credit FTES for District A in the table below:</w:t>
      </w:r>
    </w:p>
    <w:p w14:paraId="105E46E0" w14:textId="77777777" w:rsidR="00751A4F" w:rsidRPr="00CF29BB" w:rsidRDefault="00751A4F" w:rsidP="007A61BE">
      <w:pPr>
        <w:ind w:left="499" w:right="0"/>
        <w:rPr>
          <w:rFonts w:ascii="Source Sans Pro" w:hAnsi="Source Sans Pro"/>
        </w:rPr>
      </w:pPr>
    </w:p>
    <w:p w14:paraId="0BD1BA6C" w14:textId="77777777" w:rsidR="00751A4F" w:rsidRPr="00CF29BB" w:rsidRDefault="00751A4F" w:rsidP="007A61BE">
      <w:pPr>
        <w:ind w:left="499" w:right="0"/>
        <w:rPr>
          <w:rFonts w:ascii="Source Sans Pro" w:hAnsi="Source Sans Pro"/>
        </w:rPr>
      </w:pPr>
    </w:p>
    <w:p w14:paraId="07E979CF" w14:textId="77777777" w:rsidR="00EE0B29" w:rsidRDefault="0051517A" w:rsidP="0051517A">
      <w:pPr>
        <w:tabs>
          <w:tab w:val="left" w:pos="3955"/>
          <w:tab w:val="center" w:pos="5179"/>
        </w:tabs>
        <w:ind w:left="499" w:right="0"/>
        <w:jc w:val="left"/>
        <w:rPr>
          <w:rFonts w:ascii="Source Sans Pro" w:hAnsi="Source Sans Pro"/>
        </w:rPr>
      </w:pPr>
      <w:r w:rsidRPr="00CF29BB">
        <w:rPr>
          <w:rFonts w:ascii="Source Sans Pro" w:hAnsi="Source Sans Pro"/>
        </w:rPr>
        <w:tab/>
      </w:r>
      <w:r w:rsidRPr="00CF29BB">
        <w:rPr>
          <w:rFonts w:ascii="Source Sans Pro" w:hAnsi="Source Sans Pro"/>
        </w:rPr>
        <w:tab/>
      </w:r>
    </w:p>
    <w:p w14:paraId="22F2B2FF" w14:textId="77777777" w:rsidR="00751A4F" w:rsidRPr="00CF29BB" w:rsidRDefault="0051517A" w:rsidP="0051517A">
      <w:pPr>
        <w:tabs>
          <w:tab w:val="left" w:pos="3955"/>
          <w:tab w:val="center" w:pos="5179"/>
        </w:tabs>
        <w:ind w:left="499" w:right="0"/>
        <w:jc w:val="left"/>
        <w:rPr>
          <w:rFonts w:ascii="Source Sans Pro" w:hAnsi="Source Sans Pro"/>
        </w:rPr>
      </w:pPr>
      <w:r w:rsidRPr="00CF29BB">
        <w:rPr>
          <w:rFonts w:ascii="Source Sans Pro" w:hAnsi="Source Sans Pro"/>
        </w:rPr>
        <w:t>D</w:t>
      </w:r>
      <w:r w:rsidR="00C34CCF" w:rsidRPr="00CF29BB">
        <w:rPr>
          <w:rFonts w:ascii="Source Sans Pro" w:hAnsi="Source Sans Pro"/>
        </w:rPr>
        <w:t>istrict A</w:t>
      </w:r>
      <w:r w:rsidR="00F46D4D" w:rsidRPr="00CF29BB">
        <w:rPr>
          <w:rFonts w:ascii="Source Sans Pro" w:hAnsi="Source Sans Pro"/>
        </w:rPr>
        <w:t>: Growth District</w:t>
      </w:r>
    </w:p>
    <w:p w14:paraId="53C9AE56" w14:textId="77777777" w:rsidR="00C34CCF" w:rsidRPr="00CF29BB" w:rsidRDefault="00C34CCF" w:rsidP="00FB24B6">
      <w:pPr>
        <w:ind w:left="499" w:right="0"/>
        <w:jc w:val="center"/>
        <w:rPr>
          <w:rFonts w:ascii="Source Sans Pro" w:hAnsi="Source Sans Pro"/>
        </w:rPr>
      </w:pPr>
      <w:r w:rsidRPr="00CF29BB">
        <w:rPr>
          <w:rFonts w:ascii="Source Sans Pro" w:hAnsi="Source Sans Pro"/>
        </w:rPr>
        <w:t>Base Credit FTES Average</w:t>
      </w:r>
    </w:p>
    <w:tbl>
      <w:tblPr>
        <w:tblStyle w:val="TableGrid0"/>
        <w:tblW w:w="0" w:type="auto"/>
        <w:tblInd w:w="499" w:type="dxa"/>
        <w:tblLook w:val="04A0" w:firstRow="1" w:lastRow="0" w:firstColumn="1" w:lastColumn="0" w:noHBand="0" w:noVBand="1"/>
      </w:tblPr>
      <w:tblGrid>
        <w:gridCol w:w="3396"/>
        <w:gridCol w:w="994"/>
        <w:gridCol w:w="994"/>
        <w:gridCol w:w="994"/>
        <w:gridCol w:w="994"/>
        <w:gridCol w:w="994"/>
        <w:gridCol w:w="995"/>
      </w:tblGrid>
      <w:tr w:rsidR="00187282" w:rsidRPr="00CF29BB" w14:paraId="3B8D3CB3" w14:textId="77777777" w:rsidTr="00EE2E3F">
        <w:trPr>
          <w:trHeight w:val="489"/>
        </w:trPr>
        <w:tc>
          <w:tcPr>
            <w:tcW w:w="0" w:type="auto"/>
            <w:shd w:val="clear" w:color="auto" w:fill="002F6D"/>
            <w:vAlign w:val="center"/>
          </w:tcPr>
          <w:p w14:paraId="7B3200F1" w14:textId="77777777" w:rsidR="00F46D4D" w:rsidRPr="00CF29BB" w:rsidRDefault="00F46D4D" w:rsidP="00EE2E3F">
            <w:pPr>
              <w:ind w:left="0" w:right="0" w:firstLine="0"/>
              <w:jc w:val="center"/>
              <w:rPr>
                <w:rFonts w:ascii="Source Sans Pro" w:hAnsi="Source Sans Pro"/>
                <w:color w:val="FFFFFF" w:themeColor="background1"/>
              </w:rPr>
            </w:pPr>
            <w:r w:rsidRPr="00CF29BB">
              <w:rPr>
                <w:rFonts w:ascii="Source Sans Pro" w:hAnsi="Source Sans Pro"/>
                <w:color w:val="FFFFFF" w:themeColor="background1"/>
              </w:rPr>
              <w:t>Year</w:t>
            </w:r>
          </w:p>
        </w:tc>
        <w:tc>
          <w:tcPr>
            <w:tcW w:w="0" w:type="auto"/>
            <w:shd w:val="clear" w:color="auto" w:fill="002F6D"/>
            <w:vAlign w:val="center"/>
          </w:tcPr>
          <w:p w14:paraId="485B0660" w14:textId="77777777" w:rsidR="00F46D4D" w:rsidRPr="00CF29BB" w:rsidRDefault="00187282" w:rsidP="00EE2E3F">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F46D4D" w:rsidRPr="00CF29BB">
              <w:rPr>
                <w:rFonts w:ascii="Source Sans Pro" w:hAnsi="Source Sans Pro"/>
                <w:color w:val="FFFFFF" w:themeColor="background1"/>
              </w:rPr>
              <w:t>15</w:t>
            </w:r>
            <w:r>
              <w:rPr>
                <w:rFonts w:ascii="Source Sans Pro" w:hAnsi="Source Sans Pro"/>
                <w:color w:val="FFFFFF" w:themeColor="background1"/>
              </w:rPr>
              <w:t>-</w:t>
            </w:r>
            <w:r w:rsidR="00F46D4D" w:rsidRPr="00CF29BB">
              <w:rPr>
                <w:rFonts w:ascii="Source Sans Pro" w:hAnsi="Source Sans Pro"/>
                <w:color w:val="FFFFFF" w:themeColor="background1"/>
              </w:rPr>
              <w:t>16 FTES</w:t>
            </w:r>
          </w:p>
        </w:tc>
        <w:tc>
          <w:tcPr>
            <w:tcW w:w="0" w:type="auto"/>
            <w:shd w:val="clear" w:color="auto" w:fill="002F6D"/>
            <w:vAlign w:val="center"/>
          </w:tcPr>
          <w:p w14:paraId="67106F35" w14:textId="77777777" w:rsidR="00F46D4D" w:rsidRPr="00CF29BB" w:rsidRDefault="00187282" w:rsidP="00EE2E3F">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F46D4D" w:rsidRPr="00CF29BB">
              <w:rPr>
                <w:rFonts w:ascii="Source Sans Pro" w:hAnsi="Source Sans Pro"/>
                <w:color w:val="FFFFFF" w:themeColor="background1"/>
              </w:rPr>
              <w:t>16</w:t>
            </w:r>
            <w:r>
              <w:rPr>
                <w:rFonts w:ascii="Source Sans Pro" w:hAnsi="Source Sans Pro"/>
                <w:color w:val="FFFFFF" w:themeColor="background1"/>
              </w:rPr>
              <w:t>-</w:t>
            </w:r>
            <w:r w:rsidR="00F46D4D" w:rsidRPr="00CF29BB">
              <w:rPr>
                <w:rFonts w:ascii="Source Sans Pro" w:hAnsi="Source Sans Pro"/>
                <w:color w:val="FFFFFF" w:themeColor="background1"/>
              </w:rPr>
              <w:t>17 FTES</w:t>
            </w:r>
          </w:p>
        </w:tc>
        <w:tc>
          <w:tcPr>
            <w:tcW w:w="0" w:type="auto"/>
            <w:shd w:val="clear" w:color="auto" w:fill="002F6D"/>
            <w:vAlign w:val="center"/>
          </w:tcPr>
          <w:p w14:paraId="7C873864" w14:textId="77777777" w:rsidR="00F46D4D" w:rsidRPr="00CF29BB" w:rsidRDefault="00187282" w:rsidP="00EE2E3F">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F46D4D" w:rsidRPr="00CF29BB">
              <w:rPr>
                <w:rFonts w:ascii="Source Sans Pro" w:hAnsi="Source Sans Pro"/>
                <w:color w:val="FFFFFF" w:themeColor="background1"/>
              </w:rPr>
              <w:t>17</w:t>
            </w:r>
            <w:r>
              <w:rPr>
                <w:rFonts w:ascii="Source Sans Pro" w:hAnsi="Source Sans Pro"/>
                <w:color w:val="FFFFFF" w:themeColor="background1"/>
              </w:rPr>
              <w:t>-</w:t>
            </w:r>
            <w:r w:rsidR="00F46D4D" w:rsidRPr="00CF29BB">
              <w:rPr>
                <w:rFonts w:ascii="Source Sans Pro" w:hAnsi="Source Sans Pro"/>
                <w:color w:val="FFFFFF" w:themeColor="background1"/>
              </w:rPr>
              <w:t>18 FTES</w:t>
            </w:r>
          </w:p>
        </w:tc>
        <w:tc>
          <w:tcPr>
            <w:tcW w:w="0" w:type="auto"/>
            <w:shd w:val="clear" w:color="auto" w:fill="002F6D"/>
            <w:vAlign w:val="center"/>
          </w:tcPr>
          <w:p w14:paraId="6A8B42FF" w14:textId="77777777" w:rsidR="00F46D4D" w:rsidRPr="00CF29BB" w:rsidRDefault="00187282" w:rsidP="00EE2E3F">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F46D4D" w:rsidRPr="00CF29BB">
              <w:rPr>
                <w:rFonts w:ascii="Source Sans Pro" w:hAnsi="Source Sans Pro"/>
                <w:color w:val="FFFFFF" w:themeColor="background1"/>
              </w:rPr>
              <w:t>18</w:t>
            </w:r>
            <w:r>
              <w:rPr>
                <w:rFonts w:ascii="Source Sans Pro" w:hAnsi="Source Sans Pro"/>
                <w:color w:val="FFFFFF" w:themeColor="background1"/>
              </w:rPr>
              <w:t>-</w:t>
            </w:r>
            <w:r w:rsidR="00F46D4D" w:rsidRPr="00CF29BB">
              <w:rPr>
                <w:rFonts w:ascii="Source Sans Pro" w:hAnsi="Source Sans Pro"/>
                <w:color w:val="FFFFFF" w:themeColor="background1"/>
              </w:rPr>
              <w:t>19 FTES</w:t>
            </w:r>
          </w:p>
        </w:tc>
        <w:tc>
          <w:tcPr>
            <w:tcW w:w="0" w:type="auto"/>
            <w:shd w:val="clear" w:color="auto" w:fill="002F6D"/>
            <w:vAlign w:val="center"/>
          </w:tcPr>
          <w:p w14:paraId="7B961569" w14:textId="77777777" w:rsidR="00F46D4D" w:rsidRPr="00CF29BB" w:rsidRDefault="00187282" w:rsidP="00EE2E3F">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F46D4D" w:rsidRPr="00CF29BB">
              <w:rPr>
                <w:rFonts w:ascii="Source Sans Pro" w:hAnsi="Source Sans Pro"/>
                <w:color w:val="FFFFFF" w:themeColor="background1"/>
              </w:rPr>
              <w:t>19</w:t>
            </w:r>
            <w:r>
              <w:rPr>
                <w:rFonts w:ascii="Source Sans Pro" w:hAnsi="Source Sans Pro"/>
                <w:color w:val="FFFFFF" w:themeColor="background1"/>
              </w:rPr>
              <w:t>-</w:t>
            </w:r>
            <w:r w:rsidR="00F46D4D" w:rsidRPr="00CF29BB">
              <w:rPr>
                <w:rFonts w:ascii="Source Sans Pro" w:hAnsi="Source Sans Pro"/>
                <w:color w:val="FFFFFF" w:themeColor="background1"/>
              </w:rPr>
              <w:t>20 FTES</w:t>
            </w:r>
          </w:p>
        </w:tc>
        <w:tc>
          <w:tcPr>
            <w:tcW w:w="995" w:type="dxa"/>
            <w:shd w:val="clear" w:color="auto" w:fill="002F6D"/>
            <w:vAlign w:val="center"/>
          </w:tcPr>
          <w:p w14:paraId="47C0691C" w14:textId="77777777" w:rsidR="00F46D4D" w:rsidRPr="00CF29BB" w:rsidRDefault="00187282" w:rsidP="00EE2E3F">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F46D4D" w:rsidRPr="00CF29BB">
              <w:rPr>
                <w:rFonts w:ascii="Source Sans Pro" w:hAnsi="Source Sans Pro"/>
                <w:color w:val="FFFFFF" w:themeColor="background1"/>
              </w:rPr>
              <w:t>20</w:t>
            </w:r>
            <w:r>
              <w:rPr>
                <w:rFonts w:ascii="Source Sans Pro" w:hAnsi="Source Sans Pro"/>
                <w:color w:val="FFFFFF" w:themeColor="background1"/>
              </w:rPr>
              <w:t>-</w:t>
            </w:r>
            <w:r w:rsidR="00F46D4D" w:rsidRPr="00CF29BB">
              <w:rPr>
                <w:rFonts w:ascii="Source Sans Pro" w:hAnsi="Source Sans Pro"/>
                <w:color w:val="FFFFFF" w:themeColor="background1"/>
              </w:rPr>
              <w:t>21 FTES</w:t>
            </w:r>
          </w:p>
        </w:tc>
      </w:tr>
      <w:tr w:rsidR="00187282" w:rsidRPr="00CF29BB" w14:paraId="448FF3FC" w14:textId="77777777" w:rsidTr="00EE2E3F">
        <w:tc>
          <w:tcPr>
            <w:tcW w:w="0" w:type="auto"/>
          </w:tcPr>
          <w:p w14:paraId="345E7D96" w14:textId="77777777" w:rsidR="00F46D4D" w:rsidRPr="00CF29BB" w:rsidRDefault="00F46D4D" w:rsidP="00C34CCF">
            <w:pPr>
              <w:ind w:left="0" w:right="0" w:firstLine="0"/>
              <w:rPr>
                <w:rFonts w:ascii="Source Sans Pro" w:hAnsi="Source Sans Pro"/>
              </w:rPr>
            </w:pPr>
            <w:r w:rsidRPr="00CF29BB">
              <w:rPr>
                <w:rFonts w:ascii="Source Sans Pro" w:hAnsi="Source Sans Pro"/>
              </w:rPr>
              <w:t>FTES reported on</w:t>
            </w:r>
            <w:r w:rsidR="00187282">
              <w:rPr>
                <w:rFonts w:ascii="Source Sans Pro" w:hAnsi="Source Sans Pro"/>
              </w:rPr>
              <w:t xml:space="preserve"> form</w:t>
            </w:r>
            <w:r w:rsidRPr="00CF29BB">
              <w:rPr>
                <w:rFonts w:ascii="Source Sans Pro" w:hAnsi="Source Sans Pro"/>
              </w:rPr>
              <w:t xml:space="preserve"> 320*</w:t>
            </w:r>
          </w:p>
        </w:tc>
        <w:tc>
          <w:tcPr>
            <w:tcW w:w="0" w:type="auto"/>
          </w:tcPr>
          <w:p w14:paraId="2804C62D" w14:textId="77777777" w:rsidR="00F46D4D" w:rsidRPr="00CF29BB" w:rsidRDefault="00F46D4D" w:rsidP="00EE2E3F">
            <w:pPr>
              <w:ind w:left="0" w:right="0" w:firstLine="0"/>
              <w:jc w:val="right"/>
              <w:rPr>
                <w:rFonts w:ascii="Source Sans Pro" w:hAnsi="Source Sans Pro"/>
              </w:rPr>
            </w:pPr>
            <w:r w:rsidRPr="00CF29BB">
              <w:rPr>
                <w:rFonts w:ascii="Source Sans Pro" w:hAnsi="Source Sans Pro"/>
              </w:rPr>
              <w:t>10,200</w:t>
            </w:r>
          </w:p>
        </w:tc>
        <w:tc>
          <w:tcPr>
            <w:tcW w:w="0" w:type="auto"/>
          </w:tcPr>
          <w:p w14:paraId="5A33684A" w14:textId="77777777" w:rsidR="00F46D4D" w:rsidRPr="00CF29BB" w:rsidRDefault="00F46D4D" w:rsidP="00EE2E3F">
            <w:pPr>
              <w:ind w:left="0" w:right="0" w:firstLine="0"/>
              <w:jc w:val="right"/>
              <w:rPr>
                <w:rFonts w:ascii="Source Sans Pro" w:hAnsi="Source Sans Pro"/>
              </w:rPr>
            </w:pPr>
            <w:r w:rsidRPr="00CF29BB">
              <w:rPr>
                <w:rFonts w:ascii="Source Sans Pro" w:hAnsi="Source Sans Pro"/>
              </w:rPr>
              <w:t>9,500</w:t>
            </w:r>
          </w:p>
        </w:tc>
        <w:tc>
          <w:tcPr>
            <w:tcW w:w="0" w:type="auto"/>
          </w:tcPr>
          <w:p w14:paraId="0134C4B7" w14:textId="77777777" w:rsidR="00F46D4D" w:rsidRPr="00CF29BB" w:rsidRDefault="00F46D4D" w:rsidP="00EE2E3F">
            <w:pPr>
              <w:ind w:left="0" w:right="0" w:firstLine="0"/>
              <w:jc w:val="right"/>
              <w:rPr>
                <w:rFonts w:ascii="Source Sans Pro" w:hAnsi="Source Sans Pro"/>
              </w:rPr>
            </w:pPr>
            <w:r w:rsidRPr="00CF29BB">
              <w:rPr>
                <w:rFonts w:ascii="Source Sans Pro" w:hAnsi="Source Sans Pro"/>
              </w:rPr>
              <w:t>10,000</w:t>
            </w:r>
          </w:p>
        </w:tc>
        <w:tc>
          <w:tcPr>
            <w:tcW w:w="0" w:type="auto"/>
          </w:tcPr>
          <w:p w14:paraId="606B4E2F" w14:textId="77777777" w:rsidR="00F46D4D" w:rsidRPr="00CF29BB" w:rsidRDefault="00F46D4D" w:rsidP="00EE2E3F">
            <w:pPr>
              <w:ind w:left="0" w:right="0" w:firstLine="0"/>
              <w:jc w:val="right"/>
              <w:rPr>
                <w:rFonts w:ascii="Source Sans Pro" w:hAnsi="Source Sans Pro"/>
              </w:rPr>
            </w:pPr>
            <w:r w:rsidRPr="00CF29BB">
              <w:rPr>
                <w:rFonts w:ascii="Source Sans Pro" w:hAnsi="Source Sans Pro"/>
              </w:rPr>
              <w:t>10,500</w:t>
            </w:r>
          </w:p>
        </w:tc>
        <w:tc>
          <w:tcPr>
            <w:tcW w:w="0" w:type="auto"/>
          </w:tcPr>
          <w:p w14:paraId="0FA359A3" w14:textId="77777777" w:rsidR="00F46D4D" w:rsidRPr="00CF29BB" w:rsidRDefault="00F46D4D" w:rsidP="00EE2E3F">
            <w:pPr>
              <w:ind w:left="0" w:right="0" w:firstLine="0"/>
              <w:jc w:val="right"/>
              <w:rPr>
                <w:rFonts w:ascii="Source Sans Pro" w:hAnsi="Source Sans Pro"/>
              </w:rPr>
            </w:pPr>
            <w:r w:rsidRPr="00CF29BB">
              <w:rPr>
                <w:rFonts w:ascii="Source Sans Pro" w:hAnsi="Source Sans Pro"/>
              </w:rPr>
              <w:t>11,000</w:t>
            </w:r>
          </w:p>
        </w:tc>
        <w:tc>
          <w:tcPr>
            <w:tcW w:w="995" w:type="dxa"/>
          </w:tcPr>
          <w:p w14:paraId="08B28B20" w14:textId="77777777" w:rsidR="00F46D4D" w:rsidRPr="00CF29BB" w:rsidRDefault="00F46D4D" w:rsidP="00EE2E3F">
            <w:pPr>
              <w:ind w:left="0" w:right="0" w:firstLine="0"/>
              <w:jc w:val="right"/>
              <w:rPr>
                <w:rFonts w:ascii="Source Sans Pro" w:hAnsi="Source Sans Pro"/>
              </w:rPr>
            </w:pPr>
            <w:r w:rsidRPr="00CF29BB">
              <w:rPr>
                <w:rFonts w:ascii="Source Sans Pro" w:hAnsi="Source Sans Pro"/>
              </w:rPr>
              <w:t>11,500</w:t>
            </w:r>
          </w:p>
        </w:tc>
      </w:tr>
      <w:tr w:rsidR="00187282" w:rsidRPr="00CF29BB" w14:paraId="2F0C5412" w14:textId="77777777" w:rsidTr="00EE2E3F">
        <w:tc>
          <w:tcPr>
            <w:tcW w:w="0" w:type="auto"/>
          </w:tcPr>
          <w:p w14:paraId="618FEE93" w14:textId="77777777" w:rsidR="00F46D4D" w:rsidRPr="00CF29BB" w:rsidRDefault="00F46D4D" w:rsidP="00187282">
            <w:pPr>
              <w:ind w:left="10"/>
              <w:jc w:val="left"/>
              <w:rPr>
                <w:rFonts w:ascii="Source Sans Pro" w:hAnsi="Source Sans Pro"/>
              </w:rPr>
            </w:pPr>
            <w:r w:rsidRPr="00CF29BB">
              <w:rPr>
                <w:rFonts w:ascii="Source Sans Pro" w:hAnsi="Source Sans Pro"/>
              </w:rPr>
              <w:t xml:space="preserve">FTES: highest number applied in previous </w:t>
            </w:r>
            <w:r w:rsidR="00187282">
              <w:rPr>
                <w:rFonts w:ascii="Source Sans Pro" w:hAnsi="Source Sans Pro"/>
              </w:rPr>
              <w:t>three</w:t>
            </w:r>
            <w:r w:rsidR="00187282" w:rsidRPr="00CF29BB">
              <w:rPr>
                <w:rFonts w:ascii="Source Sans Pro" w:hAnsi="Source Sans Pro"/>
              </w:rPr>
              <w:t xml:space="preserve"> </w:t>
            </w:r>
            <w:r w:rsidRPr="00CF29BB">
              <w:rPr>
                <w:rFonts w:ascii="Source Sans Pro" w:hAnsi="Source Sans Pro"/>
              </w:rPr>
              <w:t>years (includes previous years’ funded growth)</w:t>
            </w:r>
          </w:p>
        </w:tc>
        <w:tc>
          <w:tcPr>
            <w:tcW w:w="0" w:type="auto"/>
          </w:tcPr>
          <w:p w14:paraId="69C06A0C" w14:textId="77777777" w:rsidR="00F46D4D" w:rsidRPr="00CF29BB" w:rsidRDefault="00F46D4D" w:rsidP="00EE2E3F">
            <w:pPr>
              <w:ind w:left="0" w:right="0" w:firstLine="0"/>
              <w:jc w:val="right"/>
              <w:rPr>
                <w:rFonts w:ascii="Source Sans Pro" w:hAnsi="Source Sans Pro"/>
              </w:rPr>
            </w:pPr>
            <w:r w:rsidRPr="00CF29BB">
              <w:rPr>
                <w:rFonts w:ascii="Source Sans Pro" w:hAnsi="Source Sans Pro"/>
              </w:rPr>
              <w:t>10,200</w:t>
            </w:r>
          </w:p>
        </w:tc>
        <w:tc>
          <w:tcPr>
            <w:tcW w:w="0" w:type="auto"/>
          </w:tcPr>
          <w:p w14:paraId="15B136BD" w14:textId="77777777" w:rsidR="00F46D4D" w:rsidRPr="00CF29BB" w:rsidRDefault="00F46D4D" w:rsidP="00EE2E3F">
            <w:pPr>
              <w:ind w:left="0" w:right="0" w:firstLine="0"/>
              <w:jc w:val="right"/>
              <w:rPr>
                <w:rFonts w:ascii="Source Sans Pro" w:hAnsi="Source Sans Pro"/>
              </w:rPr>
            </w:pPr>
            <w:r w:rsidRPr="00CF29BB">
              <w:rPr>
                <w:rFonts w:ascii="Source Sans Pro" w:hAnsi="Source Sans Pro"/>
              </w:rPr>
              <w:t>10,200</w:t>
            </w:r>
          </w:p>
        </w:tc>
        <w:tc>
          <w:tcPr>
            <w:tcW w:w="0" w:type="auto"/>
          </w:tcPr>
          <w:p w14:paraId="4A8DA51C" w14:textId="77777777" w:rsidR="00F46D4D" w:rsidRPr="00CF29BB" w:rsidRDefault="00F46D4D" w:rsidP="00EE2E3F">
            <w:pPr>
              <w:ind w:left="0" w:right="0" w:firstLine="0"/>
              <w:jc w:val="right"/>
              <w:rPr>
                <w:rFonts w:ascii="Source Sans Pro" w:hAnsi="Source Sans Pro"/>
              </w:rPr>
            </w:pPr>
            <w:r w:rsidRPr="00CF29BB">
              <w:rPr>
                <w:rFonts w:ascii="Source Sans Pro" w:hAnsi="Source Sans Pro"/>
              </w:rPr>
              <w:t>10,200</w:t>
            </w:r>
          </w:p>
        </w:tc>
        <w:tc>
          <w:tcPr>
            <w:tcW w:w="0" w:type="auto"/>
          </w:tcPr>
          <w:p w14:paraId="370402B5" w14:textId="77777777" w:rsidR="00F46D4D" w:rsidRPr="00CF29BB" w:rsidRDefault="00F46D4D" w:rsidP="00EE2E3F">
            <w:pPr>
              <w:ind w:left="0" w:right="0" w:firstLine="0"/>
              <w:jc w:val="right"/>
              <w:rPr>
                <w:rFonts w:ascii="Source Sans Pro" w:hAnsi="Source Sans Pro"/>
              </w:rPr>
            </w:pPr>
            <w:r w:rsidRPr="00CF29BB">
              <w:rPr>
                <w:rFonts w:ascii="Source Sans Pro" w:hAnsi="Source Sans Pro"/>
              </w:rPr>
              <w:t>10,200</w:t>
            </w:r>
          </w:p>
        </w:tc>
        <w:tc>
          <w:tcPr>
            <w:tcW w:w="0" w:type="auto"/>
          </w:tcPr>
          <w:p w14:paraId="2FE8A3EF" w14:textId="77777777" w:rsidR="00F46D4D" w:rsidRPr="00CF29BB" w:rsidRDefault="00A56372" w:rsidP="00EE2E3F">
            <w:pPr>
              <w:ind w:left="0" w:right="0" w:firstLine="0"/>
              <w:jc w:val="right"/>
              <w:rPr>
                <w:rFonts w:ascii="Source Sans Pro" w:hAnsi="Source Sans Pro"/>
              </w:rPr>
            </w:pPr>
            <w:r w:rsidRPr="00CF29BB">
              <w:rPr>
                <w:rFonts w:ascii="Source Sans Pro" w:hAnsi="Source Sans Pro"/>
              </w:rPr>
              <w:t>10,398</w:t>
            </w:r>
          </w:p>
        </w:tc>
        <w:tc>
          <w:tcPr>
            <w:tcW w:w="995" w:type="dxa"/>
          </w:tcPr>
          <w:p w14:paraId="0AE5DAEC" w14:textId="77777777" w:rsidR="00F46D4D" w:rsidRPr="00CF29BB" w:rsidRDefault="00A56372" w:rsidP="00EE2E3F">
            <w:pPr>
              <w:ind w:left="0" w:right="0" w:firstLine="0"/>
              <w:jc w:val="right"/>
              <w:rPr>
                <w:rFonts w:ascii="Source Sans Pro" w:hAnsi="Source Sans Pro"/>
              </w:rPr>
            </w:pPr>
            <w:r w:rsidRPr="00CF29BB">
              <w:rPr>
                <w:rFonts w:ascii="Source Sans Pro" w:hAnsi="Source Sans Pro"/>
              </w:rPr>
              <w:t>10,603</w:t>
            </w:r>
          </w:p>
        </w:tc>
      </w:tr>
      <w:tr w:rsidR="00187282" w:rsidRPr="00CF29BB" w14:paraId="35864923" w14:textId="77777777" w:rsidTr="00EE2E3F">
        <w:tc>
          <w:tcPr>
            <w:tcW w:w="0" w:type="auto"/>
          </w:tcPr>
          <w:p w14:paraId="07020332" w14:textId="77777777" w:rsidR="00F46D4D" w:rsidRPr="00CF29BB" w:rsidRDefault="00F46D4D" w:rsidP="00C34CCF">
            <w:pPr>
              <w:ind w:left="0" w:right="0" w:firstLine="0"/>
              <w:rPr>
                <w:rFonts w:ascii="Source Sans Pro" w:hAnsi="Source Sans Pro"/>
              </w:rPr>
            </w:pPr>
            <w:r w:rsidRPr="00CF29BB">
              <w:rPr>
                <w:rFonts w:ascii="Source Sans Pro" w:hAnsi="Source Sans Pro"/>
              </w:rPr>
              <w:t xml:space="preserve">Lower of reported on </w:t>
            </w:r>
            <w:r w:rsidR="00187282">
              <w:rPr>
                <w:rFonts w:ascii="Source Sans Pro" w:hAnsi="Source Sans Pro"/>
              </w:rPr>
              <w:t xml:space="preserve">Form </w:t>
            </w:r>
            <w:r w:rsidRPr="00CF29BB">
              <w:rPr>
                <w:rFonts w:ascii="Source Sans Pro" w:hAnsi="Source Sans Pro"/>
              </w:rPr>
              <w:t>320 OR highest applied in previous 3 years</w:t>
            </w:r>
          </w:p>
        </w:tc>
        <w:tc>
          <w:tcPr>
            <w:tcW w:w="0" w:type="auto"/>
          </w:tcPr>
          <w:p w14:paraId="734141AB" w14:textId="77777777" w:rsidR="00F46D4D" w:rsidRPr="00CF29BB" w:rsidRDefault="00A56372" w:rsidP="00EE2E3F">
            <w:pPr>
              <w:ind w:left="0" w:right="0" w:firstLine="0"/>
              <w:jc w:val="right"/>
              <w:rPr>
                <w:rFonts w:ascii="Source Sans Pro" w:hAnsi="Source Sans Pro"/>
              </w:rPr>
            </w:pPr>
            <w:r w:rsidRPr="00CF29BB">
              <w:rPr>
                <w:rFonts w:ascii="Source Sans Pro" w:hAnsi="Source Sans Pro"/>
              </w:rPr>
              <w:t>10,200</w:t>
            </w:r>
          </w:p>
        </w:tc>
        <w:tc>
          <w:tcPr>
            <w:tcW w:w="0" w:type="auto"/>
          </w:tcPr>
          <w:p w14:paraId="29813947" w14:textId="77777777" w:rsidR="00F46D4D" w:rsidRPr="00CF29BB" w:rsidRDefault="00A56372" w:rsidP="00EE2E3F">
            <w:pPr>
              <w:ind w:left="0" w:right="0" w:firstLine="0"/>
              <w:jc w:val="right"/>
              <w:rPr>
                <w:rFonts w:ascii="Source Sans Pro" w:hAnsi="Source Sans Pro"/>
              </w:rPr>
            </w:pPr>
            <w:r w:rsidRPr="00CF29BB">
              <w:rPr>
                <w:rFonts w:ascii="Source Sans Pro" w:hAnsi="Source Sans Pro"/>
              </w:rPr>
              <w:t>9,500</w:t>
            </w:r>
          </w:p>
        </w:tc>
        <w:tc>
          <w:tcPr>
            <w:tcW w:w="0" w:type="auto"/>
          </w:tcPr>
          <w:p w14:paraId="5D7F31E2" w14:textId="77777777" w:rsidR="00F46D4D" w:rsidRPr="00CF29BB" w:rsidRDefault="00A56372" w:rsidP="00EE2E3F">
            <w:pPr>
              <w:ind w:left="0" w:right="0" w:firstLine="0"/>
              <w:jc w:val="right"/>
              <w:rPr>
                <w:rFonts w:ascii="Source Sans Pro" w:hAnsi="Source Sans Pro"/>
              </w:rPr>
            </w:pPr>
            <w:r w:rsidRPr="00CF29BB">
              <w:rPr>
                <w:rFonts w:ascii="Source Sans Pro" w:hAnsi="Source Sans Pro"/>
              </w:rPr>
              <w:t>10,000</w:t>
            </w:r>
          </w:p>
        </w:tc>
        <w:tc>
          <w:tcPr>
            <w:tcW w:w="0" w:type="auto"/>
          </w:tcPr>
          <w:p w14:paraId="73A983D0" w14:textId="77777777" w:rsidR="00F46D4D" w:rsidRPr="00CF29BB" w:rsidRDefault="00A56372" w:rsidP="00EE2E3F">
            <w:pPr>
              <w:ind w:left="0" w:right="0" w:firstLine="0"/>
              <w:jc w:val="right"/>
              <w:rPr>
                <w:rFonts w:ascii="Source Sans Pro" w:hAnsi="Source Sans Pro"/>
              </w:rPr>
            </w:pPr>
            <w:r w:rsidRPr="00CF29BB">
              <w:rPr>
                <w:rFonts w:ascii="Source Sans Pro" w:hAnsi="Source Sans Pro"/>
              </w:rPr>
              <w:t>10,200</w:t>
            </w:r>
          </w:p>
        </w:tc>
        <w:tc>
          <w:tcPr>
            <w:tcW w:w="0" w:type="auto"/>
          </w:tcPr>
          <w:p w14:paraId="4932C52A" w14:textId="77777777" w:rsidR="00F46D4D" w:rsidRPr="00CF29BB" w:rsidRDefault="00A56372" w:rsidP="00EE2E3F">
            <w:pPr>
              <w:ind w:left="0" w:right="0" w:firstLine="0"/>
              <w:jc w:val="right"/>
              <w:rPr>
                <w:rFonts w:ascii="Source Sans Pro" w:hAnsi="Source Sans Pro"/>
              </w:rPr>
            </w:pPr>
            <w:r w:rsidRPr="00CF29BB">
              <w:rPr>
                <w:rFonts w:ascii="Source Sans Pro" w:hAnsi="Source Sans Pro"/>
              </w:rPr>
              <w:t>10,398</w:t>
            </w:r>
          </w:p>
        </w:tc>
        <w:tc>
          <w:tcPr>
            <w:tcW w:w="995" w:type="dxa"/>
          </w:tcPr>
          <w:p w14:paraId="3BC2A6D0" w14:textId="77777777" w:rsidR="00F46D4D" w:rsidRPr="00CF29BB" w:rsidRDefault="00A56372" w:rsidP="00EE2E3F">
            <w:pPr>
              <w:ind w:left="0" w:right="0" w:firstLine="0"/>
              <w:jc w:val="right"/>
              <w:rPr>
                <w:rFonts w:ascii="Source Sans Pro" w:hAnsi="Source Sans Pro"/>
              </w:rPr>
            </w:pPr>
            <w:r w:rsidRPr="00CF29BB">
              <w:rPr>
                <w:rFonts w:ascii="Source Sans Pro" w:hAnsi="Source Sans Pro"/>
              </w:rPr>
              <w:t>10,603</w:t>
            </w:r>
          </w:p>
        </w:tc>
      </w:tr>
      <w:tr w:rsidR="00187282" w:rsidRPr="00CF29BB" w14:paraId="5BFC25E6" w14:textId="77777777" w:rsidTr="00EE2E3F">
        <w:tc>
          <w:tcPr>
            <w:tcW w:w="0" w:type="auto"/>
          </w:tcPr>
          <w:p w14:paraId="7BB099CE" w14:textId="77777777" w:rsidR="00A56372" w:rsidRPr="00CF29BB" w:rsidRDefault="00A56372" w:rsidP="00A56372">
            <w:pPr>
              <w:ind w:left="0" w:right="0" w:firstLine="0"/>
              <w:jc w:val="left"/>
              <w:rPr>
                <w:rFonts w:ascii="Source Sans Pro" w:hAnsi="Source Sans Pro"/>
              </w:rPr>
            </w:pPr>
            <w:r w:rsidRPr="00CF29BB">
              <w:rPr>
                <w:rFonts w:ascii="Source Sans Pro" w:hAnsi="Source Sans Pro"/>
              </w:rPr>
              <w:t>Achieved Growth**</w:t>
            </w:r>
          </w:p>
        </w:tc>
        <w:tc>
          <w:tcPr>
            <w:tcW w:w="0" w:type="auto"/>
          </w:tcPr>
          <w:p w14:paraId="410968B9" w14:textId="77777777" w:rsidR="00A56372" w:rsidRPr="00CF29BB" w:rsidRDefault="00A56372" w:rsidP="00EE2E3F">
            <w:pPr>
              <w:ind w:left="0" w:right="0" w:firstLine="0"/>
              <w:jc w:val="right"/>
              <w:rPr>
                <w:rFonts w:ascii="Source Sans Pro" w:hAnsi="Source Sans Pro"/>
              </w:rPr>
            </w:pPr>
          </w:p>
        </w:tc>
        <w:tc>
          <w:tcPr>
            <w:tcW w:w="0" w:type="auto"/>
          </w:tcPr>
          <w:p w14:paraId="210368D6" w14:textId="77777777" w:rsidR="00A56372" w:rsidRPr="00CF29BB" w:rsidRDefault="00A56372" w:rsidP="00EE2E3F">
            <w:pPr>
              <w:ind w:left="0" w:right="0" w:firstLine="0"/>
              <w:jc w:val="right"/>
              <w:rPr>
                <w:rFonts w:ascii="Source Sans Pro" w:hAnsi="Source Sans Pro"/>
              </w:rPr>
            </w:pPr>
          </w:p>
        </w:tc>
        <w:tc>
          <w:tcPr>
            <w:tcW w:w="0" w:type="auto"/>
          </w:tcPr>
          <w:p w14:paraId="1AD9953D" w14:textId="77777777" w:rsidR="00A56372" w:rsidRPr="00CF29BB" w:rsidRDefault="00A56372" w:rsidP="00EE2E3F">
            <w:pPr>
              <w:ind w:left="0" w:right="0" w:firstLine="0"/>
              <w:jc w:val="right"/>
              <w:rPr>
                <w:rFonts w:ascii="Source Sans Pro" w:hAnsi="Source Sans Pro"/>
              </w:rPr>
            </w:pPr>
          </w:p>
        </w:tc>
        <w:tc>
          <w:tcPr>
            <w:tcW w:w="0" w:type="auto"/>
          </w:tcPr>
          <w:p w14:paraId="283F012E" w14:textId="77777777" w:rsidR="00A56372" w:rsidRPr="00CF29BB" w:rsidRDefault="00A56372" w:rsidP="00EE2E3F">
            <w:pPr>
              <w:ind w:left="0" w:right="0" w:firstLine="0"/>
              <w:jc w:val="right"/>
              <w:rPr>
                <w:rFonts w:ascii="Source Sans Pro" w:hAnsi="Source Sans Pro"/>
              </w:rPr>
            </w:pPr>
            <w:r w:rsidRPr="00CF29BB">
              <w:rPr>
                <w:rFonts w:ascii="Source Sans Pro" w:hAnsi="Source Sans Pro"/>
              </w:rPr>
              <w:t>198</w:t>
            </w:r>
          </w:p>
        </w:tc>
        <w:tc>
          <w:tcPr>
            <w:tcW w:w="0" w:type="auto"/>
          </w:tcPr>
          <w:p w14:paraId="141D0826" w14:textId="77777777" w:rsidR="00A56372" w:rsidRPr="00CF29BB" w:rsidRDefault="00A56372" w:rsidP="00EE2E3F">
            <w:pPr>
              <w:ind w:left="0" w:right="0" w:firstLine="0"/>
              <w:jc w:val="right"/>
              <w:rPr>
                <w:rFonts w:ascii="Source Sans Pro" w:hAnsi="Source Sans Pro"/>
              </w:rPr>
            </w:pPr>
            <w:r w:rsidRPr="00CF29BB">
              <w:rPr>
                <w:rFonts w:ascii="Source Sans Pro" w:hAnsi="Source Sans Pro"/>
              </w:rPr>
              <w:t>205</w:t>
            </w:r>
          </w:p>
        </w:tc>
        <w:tc>
          <w:tcPr>
            <w:tcW w:w="995" w:type="dxa"/>
          </w:tcPr>
          <w:p w14:paraId="38CE4364" w14:textId="77777777" w:rsidR="00A56372" w:rsidRPr="00CF29BB" w:rsidRDefault="00A56372" w:rsidP="00EE2E3F">
            <w:pPr>
              <w:ind w:left="0" w:right="0" w:firstLine="0"/>
              <w:jc w:val="right"/>
              <w:rPr>
                <w:rFonts w:ascii="Source Sans Pro" w:hAnsi="Source Sans Pro"/>
              </w:rPr>
            </w:pPr>
            <w:r w:rsidRPr="00CF29BB">
              <w:rPr>
                <w:rFonts w:ascii="Source Sans Pro" w:hAnsi="Source Sans Pro"/>
              </w:rPr>
              <w:t>211</w:t>
            </w:r>
          </w:p>
        </w:tc>
      </w:tr>
      <w:tr w:rsidR="00187282" w:rsidRPr="00CF29BB" w14:paraId="1EAD0D3B" w14:textId="77777777" w:rsidTr="00EE2E3F">
        <w:trPr>
          <w:trHeight w:val="264"/>
        </w:trPr>
        <w:tc>
          <w:tcPr>
            <w:tcW w:w="0" w:type="auto"/>
          </w:tcPr>
          <w:p w14:paraId="7346C8D6" w14:textId="77777777" w:rsidR="00A56372" w:rsidRPr="00CF29BB" w:rsidRDefault="001B47C7" w:rsidP="00A56372">
            <w:pPr>
              <w:ind w:left="0" w:right="0" w:firstLine="0"/>
              <w:jc w:val="left"/>
              <w:rPr>
                <w:rFonts w:ascii="Source Sans Pro" w:hAnsi="Source Sans Pro"/>
              </w:rPr>
            </w:pPr>
            <w:r>
              <w:rPr>
                <w:rFonts w:ascii="Source Sans Pro" w:hAnsi="Source Sans Pro"/>
              </w:rPr>
              <w:t>Three-</w:t>
            </w:r>
            <w:r w:rsidR="00A56372" w:rsidRPr="00CF29BB">
              <w:rPr>
                <w:rFonts w:ascii="Source Sans Pro" w:hAnsi="Source Sans Pro"/>
              </w:rPr>
              <w:t>Year Average</w:t>
            </w:r>
            <w:r w:rsidR="0051517A" w:rsidRPr="00CF29BB">
              <w:rPr>
                <w:rFonts w:ascii="Source Sans Pro" w:hAnsi="Source Sans Pro"/>
              </w:rPr>
              <w:t>***</w:t>
            </w:r>
          </w:p>
        </w:tc>
        <w:tc>
          <w:tcPr>
            <w:tcW w:w="0" w:type="auto"/>
          </w:tcPr>
          <w:p w14:paraId="7D93A33D" w14:textId="77777777" w:rsidR="00A56372" w:rsidRPr="00CF29BB" w:rsidRDefault="00A56372" w:rsidP="00EE2E3F">
            <w:pPr>
              <w:ind w:left="0" w:right="0" w:firstLine="0"/>
              <w:jc w:val="right"/>
              <w:rPr>
                <w:rFonts w:ascii="Source Sans Pro" w:hAnsi="Source Sans Pro"/>
              </w:rPr>
            </w:pPr>
          </w:p>
        </w:tc>
        <w:tc>
          <w:tcPr>
            <w:tcW w:w="0" w:type="auto"/>
          </w:tcPr>
          <w:p w14:paraId="23EA51C6" w14:textId="77777777" w:rsidR="00A56372" w:rsidRPr="00CF29BB" w:rsidRDefault="00A56372" w:rsidP="00EE2E3F">
            <w:pPr>
              <w:ind w:left="0" w:right="0" w:firstLine="0"/>
              <w:jc w:val="right"/>
              <w:rPr>
                <w:rFonts w:ascii="Source Sans Pro" w:hAnsi="Source Sans Pro"/>
              </w:rPr>
            </w:pPr>
          </w:p>
        </w:tc>
        <w:tc>
          <w:tcPr>
            <w:tcW w:w="0" w:type="auto"/>
          </w:tcPr>
          <w:p w14:paraId="6F4FE115" w14:textId="77777777" w:rsidR="00A56372" w:rsidRPr="00CF29BB" w:rsidRDefault="00A56372" w:rsidP="00EE2E3F">
            <w:pPr>
              <w:ind w:left="0" w:right="0" w:firstLine="0"/>
              <w:jc w:val="right"/>
              <w:rPr>
                <w:rFonts w:ascii="Source Sans Pro" w:hAnsi="Source Sans Pro"/>
              </w:rPr>
            </w:pPr>
          </w:p>
        </w:tc>
        <w:tc>
          <w:tcPr>
            <w:tcW w:w="0" w:type="auto"/>
          </w:tcPr>
          <w:p w14:paraId="667ADFC2" w14:textId="77777777" w:rsidR="00A56372" w:rsidRPr="00CF29BB" w:rsidRDefault="00A56372" w:rsidP="00EE2E3F">
            <w:pPr>
              <w:ind w:left="0" w:right="0" w:firstLine="0"/>
              <w:jc w:val="right"/>
              <w:rPr>
                <w:rFonts w:ascii="Source Sans Pro" w:hAnsi="Source Sans Pro"/>
              </w:rPr>
            </w:pPr>
            <w:r w:rsidRPr="00CF29BB">
              <w:rPr>
                <w:rFonts w:ascii="Source Sans Pro" w:hAnsi="Source Sans Pro"/>
              </w:rPr>
              <w:t>9,900</w:t>
            </w:r>
          </w:p>
        </w:tc>
        <w:tc>
          <w:tcPr>
            <w:tcW w:w="0" w:type="auto"/>
          </w:tcPr>
          <w:p w14:paraId="12E6FC82" w14:textId="77777777" w:rsidR="00A56372" w:rsidRPr="00CF29BB" w:rsidRDefault="00A56372" w:rsidP="00EE2E3F">
            <w:pPr>
              <w:ind w:left="0" w:right="0" w:firstLine="0"/>
              <w:jc w:val="right"/>
              <w:rPr>
                <w:rFonts w:ascii="Source Sans Pro" w:hAnsi="Source Sans Pro"/>
              </w:rPr>
            </w:pPr>
            <w:r w:rsidRPr="00CF29BB">
              <w:rPr>
                <w:rFonts w:ascii="Source Sans Pro" w:hAnsi="Source Sans Pro"/>
              </w:rPr>
              <w:t>10,265</w:t>
            </w:r>
          </w:p>
        </w:tc>
        <w:tc>
          <w:tcPr>
            <w:tcW w:w="995" w:type="dxa"/>
          </w:tcPr>
          <w:p w14:paraId="4271B156" w14:textId="77777777" w:rsidR="00A56372" w:rsidRPr="00CF29BB" w:rsidRDefault="00A56372" w:rsidP="00EE2E3F">
            <w:pPr>
              <w:ind w:left="0" w:right="0" w:firstLine="0"/>
              <w:jc w:val="right"/>
              <w:rPr>
                <w:rFonts w:ascii="Source Sans Pro" w:hAnsi="Source Sans Pro"/>
              </w:rPr>
            </w:pPr>
            <w:r w:rsidRPr="00CF29BB">
              <w:rPr>
                <w:rFonts w:ascii="Source Sans Pro" w:hAnsi="Source Sans Pro"/>
              </w:rPr>
              <w:t>10,535</w:t>
            </w:r>
          </w:p>
        </w:tc>
      </w:tr>
    </w:tbl>
    <w:p w14:paraId="6FE153DE" w14:textId="77777777" w:rsidR="007A61BE" w:rsidRPr="00AC04D8" w:rsidRDefault="007A61BE" w:rsidP="007A61BE">
      <w:pPr>
        <w:spacing w:before="120" w:after="0"/>
        <w:ind w:left="499" w:right="0"/>
        <w:rPr>
          <w:rFonts w:ascii="Source Sans Pro" w:hAnsi="Source Sans Pro"/>
          <w:sz w:val="18"/>
          <w:szCs w:val="18"/>
        </w:rPr>
      </w:pPr>
      <w:r w:rsidRPr="00CF29BB">
        <w:rPr>
          <w:rFonts w:ascii="Source Sans Pro" w:hAnsi="Source Sans Pro"/>
          <w:sz w:val="18"/>
        </w:rPr>
        <w:t>*</w:t>
      </w:r>
      <w:r w:rsidR="00EE2E3F">
        <w:rPr>
          <w:rFonts w:ascii="Source Sans Pro" w:hAnsi="Source Sans Pro"/>
          <w:sz w:val="18"/>
        </w:rPr>
        <w:tab/>
      </w:r>
      <w:r w:rsidRPr="00CF29BB">
        <w:rPr>
          <w:rFonts w:ascii="Source Sans Pro" w:hAnsi="Source Sans Pro"/>
          <w:sz w:val="18"/>
        </w:rPr>
        <w:t xml:space="preserve"> </w:t>
      </w:r>
      <w:r w:rsidR="007C019B" w:rsidRPr="00AC04D8">
        <w:rPr>
          <w:rFonts w:ascii="Source Sans Pro" w:hAnsi="Source Sans Pro"/>
          <w:sz w:val="18"/>
          <w:szCs w:val="18"/>
        </w:rPr>
        <w:t xml:space="preserve">Funded </w:t>
      </w:r>
      <w:r w:rsidRPr="00AC04D8">
        <w:rPr>
          <w:rFonts w:ascii="Source Sans Pro" w:hAnsi="Source Sans Pro"/>
          <w:sz w:val="18"/>
          <w:szCs w:val="18"/>
        </w:rPr>
        <w:t xml:space="preserve">Credit FTES, </w:t>
      </w:r>
      <w:r w:rsidR="00FB24B6" w:rsidRPr="00AC04D8">
        <w:rPr>
          <w:rFonts w:ascii="Source Sans Pro" w:hAnsi="Source Sans Pro"/>
          <w:sz w:val="18"/>
          <w:szCs w:val="18"/>
        </w:rPr>
        <w:t xml:space="preserve">excludes </w:t>
      </w:r>
      <w:r w:rsidR="00830B49" w:rsidRPr="00AC04D8">
        <w:rPr>
          <w:rFonts w:ascii="Source Sans Pro" w:hAnsi="Source Sans Pro"/>
          <w:sz w:val="18"/>
          <w:szCs w:val="18"/>
        </w:rPr>
        <w:t>inmates in correctional facilities</w:t>
      </w:r>
      <w:r w:rsidR="00FB24B6" w:rsidRPr="00AC04D8">
        <w:rPr>
          <w:rFonts w:ascii="Source Sans Pro" w:hAnsi="Source Sans Pro"/>
          <w:sz w:val="18"/>
          <w:szCs w:val="18"/>
        </w:rPr>
        <w:t xml:space="preserve"> and </w:t>
      </w:r>
      <w:r w:rsidR="00EE0B29" w:rsidRPr="00AC04D8">
        <w:rPr>
          <w:rFonts w:ascii="Source Sans Pro" w:hAnsi="Source Sans Pro"/>
          <w:sz w:val="18"/>
          <w:szCs w:val="18"/>
        </w:rPr>
        <w:t>s</w:t>
      </w:r>
      <w:r w:rsidR="00FB24B6" w:rsidRPr="00AC04D8">
        <w:rPr>
          <w:rFonts w:ascii="Source Sans Pro" w:hAnsi="Source Sans Pro"/>
          <w:sz w:val="18"/>
          <w:szCs w:val="18"/>
        </w:rPr>
        <w:t xml:space="preserve">pecial </w:t>
      </w:r>
      <w:r w:rsidR="00EE0B29" w:rsidRPr="00AC04D8">
        <w:rPr>
          <w:rFonts w:ascii="Source Sans Pro" w:hAnsi="Source Sans Pro"/>
          <w:sz w:val="18"/>
          <w:szCs w:val="18"/>
        </w:rPr>
        <w:t>a</w:t>
      </w:r>
      <w:r w:rsidR="00FB24B6" w:rsidRPr="00AC04D8">
        <w:rPr>
          <w:rFonts w:ascii="Source Sans Pro" w:hAnsi="Source Sans Pro"/>
          <w:sz w:val="18"/>
          <w:szCs w:val="18"/>
        </w:rPr>
        <w:t>dmit populations.</w:t>
      </w:r>
    </w:p>
    <w:p w14:paraId="325B57C5" w14:textId="77777777" w:rsidR="007A61BE" w:rsidRPr="00AC04D8" w:rsidRDefault="007A61BE" w:rsidP="007A61BE">
      <w:pPr>
        <w:spacing w:after="0"/>
        <w:ind w:left="499" w:right="0"/>
        <w:rPr>
          <w:rFonts w:ascii="Source Sans Pro" w:hAnsi="Source Sans Pro"/>
          <w:sz w:val="18"/>
          <w:szCs w:val="18"/>
        </w:rPr>
      </w:pPr>
      <w:r w:rsidRPr="00AC04D8">
        <w:rPr>
          <w:rFonts w:ascii="Source Sans Pro" w:hAnsi="Source Sans Pro"/>
          <w:sz w:val="18"/>
          <w:szCs w:val="18"/>
        </w:rPr>
        <w:t xml:space="preserve">** </w:t>
      </w:r>
      <w:bookmarkStart w:id="12" w:name="_Hlk535244910"/>
      <w:r w:rsidR="00EE2E3F">
        <w:rPr>
          <w:rFonts w:ascii="Source Sans Pro" w:hAnsi="Source Sans Pro"/>
          <w:sz w:val="18"/>
          <w:szCs w:val="18"/>
        </w:rPr>
        <w:tab/>
      </w:r>
      <w:r w:rsidR="00E71163">
        <w:rPr>
          <w:rFonts w:ascii="Source Sans Pro" w:hAnsi="Source Sans Pro"/>
          <w:sz w:val="18"/>
        </w:rPr>
        <w:t>Two percent</w:t>
      </w:r>
      <w:r w:rsidR="00E71163" w:rsidRPr="00CF29BB">
        <w:rPr>
          <w:rFonts w:ascii="Source Sans Pro" w:hAnsi="Source Sans Pro"/>
          <w:sz w:val="18"/>
        </w:rPr>
        <w:t xml:space="preserve"> </w:t>
      </w:r>
      <w:r w:rsidR="00E71163">
        <w:rPr>
          <w:rFonts w:ascii="Source Sans Pro" w:hAnsi="Source Sans Pro"/>
          <w:sz w:val="18"/>
        </w:rPr>
        <w:t>growth</w:t>
      </w:r>
      <w:r w:rsidR="00E71163" w:rsidRPr="00CF29BB">
        <w:rPr>
          <w:rFonts w:ascii="Source Sans Pro" w:hAnsi="Source Sans Pro"/>
          <w:sz w:val="18"/>
        </w:rPr>
        <w:t xml:space="preserve"> rates</w:t>
      </w:r>
      <w:r w:rsidR="00E71163">
        <w:rPr>
          <w:rFonts w:ascii="Source Sans Pro" w:hAnsi="Source Sans Pro"/>
          <w:sz w:val="18"/>
        </w:rPr>
        <w:t xml:space="preserve"> are used in this example.</w:t>
      </w:r>
      <w:r w:rsidR="00E71163" w:rsidRPr="00CF29BB">
        <w:rPr>
          <w:rFonts w:ascii="Source Sans Pro" w:hAnsi="Source Sans Pro"/>
          <w:sz w:val="18"/>
        </w:rPr>
        <w:t xml:space="preserve"> </w:t>
      </w:r>
      <w:bookmarkEnd w:id="12"/>
    </w:p>
    <w:p w14:paraId="7542FE99" w14:textId="77777777" w:rsidR="0051517A" w:rsidRPr="00CF29BB" w:rsidRDefault="0051517A" w:rsidP="0051517A">
      <w:pPr>
        <w:ind w:left="499"/>
        <w:rPr>
          <w:rFonts w:ascii="Source Sans Pro" w:hAnsi="Source Sans Pro"/>
          <w:sz w:val="18"/>
          <w:szCs w:val="18"/>
        </w:rPr>
      </w:pPr>
      <w:r w:rsidRPr="00CF29BB">
        <w:rPr>
          <w:rFonts w:ascii="Source Sans Pro" w:hAnsi="Source Sans Pro"/>
          <w:sz w:val="18"/>
          <w:szCs w:val="18"/>
        </w:rPr>
        <w:t xml:space="preserve">***When calculating the following year’s three-year average (e.g. going from the </w:t>
      </w:r>
      <w:r w:rsidR="00997E4F">
        <w:rPr>
          <w:rFonts w:ascii="Source Sans Pro" w:hAnsi="Source Sans Pro"/>
          <w:sz w:val="18"/>
          <w:szCs w:val="18"/>
        </w:rPr>
        <w:t>20</w:t>
      </w:r>
      <w:r w:rsidRPr="00CF29BB">
        <w:rPr>
          <w:rFonts w:ascii="Source Sans Pro" w:hAnsi="Source Sans Pro"/>
          <w:sz w:val="18"/>
          <w:szCs w:val="18"/>
        </w:rPr>
        <w:t>18</w:t>
      </w:r>
      <w:r w:rsidR="00EE0B29">
        <w:rPr>
          <w:rFonts w:ascii="Source Sans Pro" w:hAnsi="Source Sans Pro"/>
          <w:sz w:val="18"/>
          <w:szCs w:val="18"/>
        </w:rPr>
        <w:t>-</w:t>
      </w:r>
      <w:r w:rsidRPr="00CF29BB">
        <w:rPr>
          <w:rFonts w:ascii="Source Sans Pro" w:hAnsi="Source Sans Pro"/>
          <w:sz w:val="18"/>
          <w:szCs w:val="18"/>
        </w:rPr>
        <w:t xml:space="preserve">19 to the </w:t>
      </w:r>
      <w:r w:rsidR="00997E4F">
        <w:rPr>
          <w:rFonts w:ascii="Source Sans Pro" w:hAnsi="Source Sans Pro"/>
          <w:sz w:val="18"/>
          <w:szCs w:val="18"/>
        </w:rPr>
        <w:t>20</w:t>
      </w:r>
      <w:r w:rsidRPr="00CF29BB">
        <w:rPr>
          <w:rFonts w:ascii="Source Sans Pro" w:hAnsi="Source Sans Pro"/>
          <w:sz w:val="18"/>
          <w:szCs w:val="18"/>
        </w:rPr>
        <w:t>19</w:t>
      </w:r>
      <w:r w:rsidR="00EE0B29">
        <w:rPr>
          <w:rFonts w:ascii="Source Sans Pro" w:hAnsi="Source Sans Pro"/>
          <w:sz w:val="18"/>
          <w:szCs w:val="18"/>
        </w:rPr>
        <w:t>-</w:t>
      </w:r>
      <w:r w:rsidRPr="00CF29BB">
        <w:rPr>
          <w:rFonts w:ascii="Source Sans Pro" w:hAnsi="Source Sans Pro"/>
          <w:sz w:val="18"/>
          <w:szCs w:val="18"/>
        </w:rPr>
        <w:t xml:space="preserve">20 year), the FTES number to carry-over from the </w:t>
      </w:r>
      <w:r w:rsidR="00187282">
        <w:rPr>
          <w:rFonts w:ascii="Source Sans Pro" w:hAnsi="Source Sans Pro"/>
          <w:sz w:val="18"/>
          <w:szCs w:val="18"/>
        </w:rPr>
        <w:t>20</w:t>
      </w:r>
      <w:r w:rsidRPr="00CF29BB">
        <w:rPr>
          <w:rFonts w:ascii="Source Sans Pro" w:hAnsi="Source Sans Pro"/>
          <w:sz w:val="18"/>
          <w:szCs w:val="18"/>
        </w:rPr>
        <w:t>18</w:t>
      </w:r>
      <w:r w:rsidR="00EE0B29">
        <w:rPr>
          <w:rFonts w:ascii="Source Sans Pro" w:hAnsi="Source Sans Pro"/>
          <w:sz w:val="18"/>
          <w:szCs w:val="18"/>
        </w:rPr>
        <w:t>-</w:t>
      </w:r>
      <w:r w:rsidRPr="00CF29BB">
        <w:rPr>
          <w:rFonts w:ascii="Source Sans Pro" w:hAnsi="Source Sans Pro"/>
          <w:sz w:val="18"/>
          <w:szCs w:val="18"/>
        </w:rPr>
        <w:t xml:space="preserve">19 year to use as the </w:t>
      </w:r>
      <w:r w:rsidR="00187282">
        <w:rPr>
          <w:rFonts w:ascii="Source Sans Pro" w:hAnsi="Source Sans Pro"/>
          <w:sz w:val="18"/>
          <w:szCs w:val="18"/>
        </w:rPr>
        <w:t>20</w:t>
      </w:r>
      <w:r w:rsidRPr="00CF29BB">
        <w:rPr>
          <w:rFonts w:ascii="Source Sans Pro" w:hAnsi="Source Sans Pro"/>
          <w:sz w:val="18"/>
          <w:szCs w:val="18"/>
        </w:rPr>
        <w:t>18</w:t>
      </w:r>
      <w:r w:rsidR="00EE0B29">
        <w:rPr>
          <w:rFonts w:ascii="Source Sans Pro" w:hAnsi="Source Sans Pro"/>
          <w:sz w:val="18"/>
          <w:szCs w:val="18"/>
        </w:rPr>
        <w:t>-</w:t>
      </w:r>
      <w:r w:rsidRPr="00CF29BB">
        <w:rPr>
          <w:rFonts w:ascii="Source Sans Pro" w:hAnsi="Source Sans Pro"/>
          <w:sz w:val="18"/>
          <w:szCs w:val="18"/>
        </w:rPr>
        <w:t xml:space="preserve">19 FTES number </w:t>
      </w:r>
      <w:r w:rsidR="00EE2E3F">
        <w:rPr>
          <w:rFonts w:ascii="Source Sans Pro" w:hAnsi="Source Sans Pro"/>
          <w:sz w:val="18"/>
          <w:szCs w:val="18"/>
        </w:rPr>
        <w:t>(the second year in the three-</w:t>
      </w:r>
      <w:r w:rsidRPr="00CF29BB">
        <w:rPr>
          <w:rFonts w:ascii="Source Sans Pro" w:hAnsi="Source Sans Pro"/>
          <w:sz w:val="18"/>
          <w:szCs w:val="18"/>
        </w:rPr>
        <w:t xml:space="preserve">year average for </w:t>
      </w:r>
      <w:r w:rsidR="00997E4F">
        <w:rPr>
          <w:rFonts w:ascii="Source Sans Pro" w:hAnsi="Source Sans Pro"/>
          <w:sz w:val="18"/>
          <w:szCs w:val="18"/>
        </w:rPr>
        <w:t>20</w:t>
      </w:r>
      <w:r w:rsidRPr="00CF29BB">
        <w:rPr>
          <w:rFonts w:ascii="Source Sans Pro" w:hAnsi="Source Sans Pro"/>
          <w:sz w:val="18"/>
          <w:szCs w:val="18"/>
        </w:rPr>
        <w:t>19</w:t>
      </w:r>
      <w:r w:rsidR="00EE0B29">
        <w:rPr>
          <w:rFonts w:ascii="Source Sans Pro" w:hAnsi="Source Sans Pro"/>
          <w:sz w:val="18"/>
          <w:szCs w:val="18"/>
        </w:rPr>
        <w:t>-</w:t>
      </w:r>
      <w:r w:rsidRPr="00CF29BB">
        <w:rPr>
          <w:rFonts w:ascii="Source Sans Pro" w:hAnsi="Source Sans Pro"/>
          <w:sz w:val="18"/>
          <w:szCs w:val="18"/>
        </w:rPr>
        <w:t xml:space="preserve">20) is calculated as follows:  sum the </w:t>
      </w:r>
      <w:r w:rsidR="00187282">
        <w:rPr>
          <w:rFonts w:ascii="Source Sans Pro" w:hAnsi="Source Sans Pro"/>
          <w:sz w:val="18"/>
          <w:szCs w:val="18"/>
        </w:rPr>
        <w:t>20</w:t>
      </w:r>
      <w:r w:rsidRPr="00CF29BB">
        <w:rPr>
          <w:rFonts w:ascii="Source Sans Pro" w:hAnsi="Source Sans Pro"/>
          <w:sz w:val="18"/>
          <w:szCs w:val="18"/>
        </w:rPr>
        <w:t>18</w:t>
      </w:r>
      <w:r w:rsidR="00EE0B29">
        <w:rPr>
          <w:rFonts w:ascii="Source Sans Pro" w:hAnsi="Source Sans Pro"/>
          <w:sz w:val="18"/>
          <w:szCs w:val="18"/>
        </w:rPr>
        <w:t>-</w:t>
      </w:r>
      <w:r w:rsidRPr="00CF29BB">
        <w:rPr>
          <w:rFonts w:ascii="Source Sans Pro" w:hAnsi="Source Sans Pro"/>
          <w:sz w:val="18"/>
          <w:szCs w:val="18"/>
        </w:rPr>
        <w:t>19 FTES number used in calculating the three</w:t>
      </w:r>
      <w:r w:rsidR="00187282">
        <w:rPr>
          <w:rFonts w:ascii="Source Sans Pro" w:hAnsi="Source Sans Pro"/>
          <w:sz w:val="18"/>
          <w:szCs w:val="18"/>
        </w:rPr>
        <w:t>-</w:t>
      </w:r>
      <w:r w:rsidRPr="00CF29BB">
        <w:rPr>
          <w:rFonts w:ascii="Source Sans Pro" w:hAnsi="Source Sans Pro"/>
          <w:sz w:val="18"/>
          <w:szCs w:val="18"/>
        </w:rPr>
        <w:t xml:space="preserve">year average and the achieved growth from </w:t>
      </w:r>
      <w:r w:rsidR="00187282">
        <w:rPr>
          <w:rFonts w:ascii="Source Sans Pro" w:hAnsi="Source Sans Pro"/>
          <w:sz w:val="18"/>
          <w:szCs w:val="18"/>
        </w:rPr>
        <w:t>20</w:t>
      </w:r>
      <w:r w:rsidRPr="00CF29BB">
        <w:rPr>
          <w:rFonts w:ascii="Source Sans Pro" w:hAnsi="Source Sans Pro"/>
          <w:sz w:val="18"/>
          <w:szCs w:val="18"/>
        </w:rPr>
        <w:t>18</w:t>
      </w:r>
      <w:r w:rsidR="00EE0B29">
        <w:rPr>
          <w:rFonts w:ascii="Source Sans Pro" w:hAnsi="Source Sans Pro"/>
          <w:sz w:val="18"/>
          <w:szCs w:val="18"/>
        </w:rPr>
        <w:t>-</w:t>
      </w:r>
      <w:r w:rsidRPr="00CF29BB">
        <w:rPr>
          <w:rFonts w:ascii="Source Sans Pro" w:hAnsi="Source Sans Pro"/>
          <w:sz w:val="18"/>
          <w:szCs w:val="18"/>
        </w:rPr>
        <w:t>19.</w:t>
      </w:r>
    </w:p>
    <w:p w14:paraId="262E3236" w14:textId="77777777" w:rsidR="00B01B2B" w:rsidRPr="00CF29BB" w:rsidRDefault="00B01B2B" w:rsidP="00B01B2B">
      <w:pPr>
        <w:spacing w:after="120"/>
        <w:ind w:left="499" w:right="0"/>
        <w:rPr>
          <w:rFonts w:ascii="Source Sans Pro" w:hAnsi="Source Sans Pro"/>
        </w:rPr>
      </w:pPr>
      <w:r w:rsidRPr="00CF29BB">
        <w:rPr>
          <w:rFonts w:ascii="Source Sans Pro" w:hAnsi="Source Sans Pro"/>
        </w:rPr>
        <w:t xml:space="preserve">The </w:t>
      </w:r>
      <w:r w:rsidR="00EE2E3F">
        <w:rPr>
          <w:rFonts w:ascii="Source Sans Pro" w:hAnsi="Source Sans Pro"/>
        </w:rPr>
        <w:t>t</w:t>
      </w:r>
      <w:r w:rsidR="00EE0B29">
        <w:rPr>
          <w:rFonts w:ascii="Source Sans Pro" w:hAnsi="Source Sans Pro"/>
        </w:rPr>
        <w:t>hree-year</w:t>
      </w:r>
      <w:r w:rsidRPr="00CF29BB">
        <w:rPr>
          <w:rFonts w:ascii="Source Sans Pro" w:hAnsi="Source Sans Pro"/>
        </w:rPr>
        <w:t xml:space="preserve"> rolling average of Base Credit FTES of District A is: </w:t>
      </w:r>
    </w:p>
    <w:p w14:paraId="55491A8E" w14:textId="77777777" w:rsidR="00B01B2B" w:rsidRPr="00CF29BB" w:rsidRDefault="00B01B2B" w:rsidP="00B01B2B">
      <w:pPr>
        <w:spacing w:after="120"/>
        <w:ind w:left="499" w:right="0"/>
        <w:jc w:val="center"/>
        <w:rPr>
          <w:rFonts w:ascii="Source Sans Pro" w:hAnsi="Source Sans Pro"/>
        </w:rPr>
      </w:pPr>
      <w:r w:rsidRPr="00CF29BB">
        <w:rPr>
          <w:rFonts w:ascii="Source Sans Pro" w:hAnsi="Source Sans Pro"/>
        </w:rPr>
        <w:t>(</w:t>
      </w:r>
      <w:r w:rsidR="00187282">
        <w:rPr>
          <w:rFonts w:ascii="Source Sans Pro" w:hAnsi="Source Sans Pro"/>
        </w:rPr>
        <w:t>20</w:t>
      </w:r>
      <w:r w:rsidRPr="00CF29BB">
        <w:rPr>
          <w:rFonts w:ascii="Source Sans Pro" w:hAnsi="Source Sans Pro"/>
        </w:rPr>
        <w:t>16</w:t>
      </w:r>
      <w:r w:rsidR="00EE0B29">
        <w:rPr>
          <w:rFonts w:ascii="Source Sans Pro" w:hAnsi="Source Sans Pro"/>
        </w:rPr>
        <w:t>-</w:t>
      </w:r>
      <w:r w:rsidRPr="00CF29BB">
        <w:rPr>
          <w:rFonts w:ascii="Source Sans Pro" w:hAnsi="Source Sans Pro"/>
        </w:rPr>
        <w:t xml:space="preserve">17 FTES* + </w:t>
      </w:r>
      <w:r w:rsidR="00187282">
        <w:rPr>
          <w:rFonts w:ascii="Source Sans Pro" w:hAnsi="Source Sans Pro"/>
        </w:rPr>
        <w:t>20</w:t>
      </w:r>
      <w:r w:rsidRPr="00CF29BB">
        <w:rPr>
          <w:rFonts w:ascii="Source Sans Pro" w:hAnsi="Source Sans Pro"/>
        </w:rPr>
        <w:t>17</w:t>
      </w:r>
      <w:r w:rsidR="00EE0B29">
        <w:rPr>
          <w:rFonts w:ascii="Source Sans Pro" w:hAnsi="Source Sans Pro"/>
        </w:rPr>
        <w:t>-</w:t>
      </w:r>
      <w:r w:rsidRPr="00CF29BB">
        <w:rPr>
          <w:rFonts w:ascii="Source Sans Pro" w:hAnsi="Source Sans Pro"/>
        </w:rPr>
        <w:t xml:space="preserve">18 FTES* + </w:t>
      </w:r>
      <w:r w:rsidR="00187282">
        <w:rPr>
          <w:rFonts w:ascii="Source Sans Pro" w:hAnsi="Source Sans Pro"/>
        </w:rPr>
        <w:t>20</w:t>
      </w:r>
      <w:r w:rsidRPr="00CF29BB">
        <w:rPr>
          <w:rFonts w:ascii="Source Sans Pro" w:hAnsi="Source Sans Pro"/>
        </w:rPr>
        <w:t>18</w:t>
      </w:r>
      <w:r w:rsidR="00EE0B29">
        <w:rPr>
          <w:rFonts w:ascii="Source Sans Pro" w:hAnsi="Source Sans Pro"/>
        </w:rPr>
        <w:t>-</w:t>
      </w:r>
      <w:r w:rsidRPr="00CF29BB">
        <w:rPr>
          <w:rFonts w:ascii="Source Sans Pro" w:hAnsi="Source Sans Pro"/>
        </w:rPr>
        <w:t>19 FTES*) / 3, or</w:t>
      </w:r>
    </w:p>
    <w:p w14:paraId="708CAABA" w14:textId="77777777" w:rsidR="00B01B2B" w:rsidRPr="00CF29BB" w:rsidRDefault="00B01B2B" w:rsidP="00B01B2B">
      <w:pPr>
        <w:ind w:left="499" w:right="0"/>
        <w:jc w:val="center"/>
        <w:rPr>
          <w:rFonts w:ascii="Source Sans Pro" w:hAnsi="Source Sans Pro"/>
          <w:b/>
        </w:rPr>
      </w:pPr>
      <w:r w:rsidRPr="00CF29BB">
        <w:rPr>
          <w:rFonts w:ascii="Source Sans Pro" w:hAnsi="Source Sans Pro"/>
        </w:rPr>
        <w:t>(9</w:t>
      </w:r>
      <w:r w:rsidR="005527DA" w:rsidRPr="00CF29BB">
        <w:rPr>
          <w:rFonts w:ascii="Source Sans Pro" w:hAnsi="Source Sans Pro"/>
        </w:rPr>
        <w:t>,5</w:t>
      </w:r>
      <w:r w:rsidRPr="00CF29BB">
        <w:rPr>
          <w:rFonts w:ascii="Source Sans Pro" w:hAnsi="Source Sans Pro"/>
        </w:rPr>
        <w:t>00 + 1</w:t>
      </w:r>
      <w:r w:rsidR="005527DA" w:rsidRPr="00CF29BB">
        <w:rPr>
          <w:rFonts w:ascii="Source Sans Pro" w:hAnsi="Source Sans Pro"/>
        </w:rPr>
        <w:t>0</w:t>
      </w:r>
      <w:r w:rsidRPr="00CF29BB">
        <w:rPr>
          <w:rFonts w:ascii="Source Sans Pro" w:hAnsi="Source Sans Pro"/>
        </w:rPr>
        <w:t>,000 + 1</w:t>
      </w:r>
      <w:r w:rsidR="005527DA" w:rsidRPr="00CF29BB">
        <w:rPr>
          <w:rFonts w:ascii="Source Sans Pro" w:hAnsi="Source Sans Pro"/>
        </w:rPr>
        <w:t>0</w:t>
      </w:r>
      <w:r w:rsidRPr="00CF29BB">
        <w:rPr>
          <w:rFonts w:ascii="Source Sans Pro" w:hAnsi="Source Sans Pro"/>
        </w:rPr>
        <w:t>,</w:t>
      </w:r>
      <w:r w:rsidR="005527DA" w:rsidRPr="00CF29BB">
        <w:rPr>
          <w:rFonts w:ascii="Source Sans Pro" w:hAnsi="Source Sans Pro"/>
        </w:rPr>
        <w:t>2</w:t>
      </w:r>
      <w:r w:rsidRPr="00CF29BB">
        <w:rPr>
          <w:rFonts w:ascii="Source Sans Pro" w:hAnsi="Source Sans Pro"/>
        </w:rPr>
        <w:t xml:space="preserve">00) / 3 = </w:t>
      </w:r>
      <w:r w:rsidR="005527DA" w:rsidRPr="00CF29BB">
        <w:rPr>
          <w:rFonts w:ascii="Source Sans Pro" w:hAnsi="Source Sans Pro"/>
          <w:b/>
        </w:rPr>
        <w:t>9,9</w:t>
      </w:r>
      <w:r w:rsidRPr="00CF29BB">
        <w:rPr>
          <w:rFonts w:ascii="Source Sans Pro" w:hAnsi="Source Sans Pro"/>
          <w:b/>
        </w:rPr>
        <w:t>00 FTES</w:t>
      </w:r>
    </w:p>
    <w:p w14:paraId="5F7E860C" w14:textId="77777777" w:rsidR="00B01B2B" w:rsidRPr="00CF29BB" w:rsidRDefault="00B01B2B" w:rsidP="00B01B2B">
      <w:pPr>
        <w:ind w:left="499" w:right="0"/>
        <w:jc w:val="left"/>
        <w:rPr>
          <w:rFonts w:ascii="Source Sans Pro" w:hAnsi="Source Sans Pro"/>
        </w:rPr>
      </w:pPr>
      <w:r w:rsidRPr="00CF29BB">
        <w:rPr>
          <w:rFonts w:ascii="Source Sans Pro" w:hAnsi="Source Sans Pro"/>
        </w:rPr>
        <w:t xml:space="preserve">The </w:t>
      </w:r>
      <w:r w:rsidR="00EE2E3F">
        <w:rPr>
          <w:rFonts w:ascii="Source Sans Pro" w:hAnsi="Source Sans Pro"/>
        </w:rPr>
        <w:t>t</w:t>
      </w:r>
      <w:r w:rsidR="00EE0B29">
        <w:rPr>
          <w:rFonts w:ascii="Source Sans Pro" w:hAnsi="Source Sans Pro"/>
        </w:rPr>
        <w:t>hree-year</w:t>
      </w:r>
      <w:r w:rsidRPr="00CF29BB">
        <w:rPr>
          <w:rFonts w:ascii="Source Sans Pro" w:hAnsi="Source Sans Pro"/>
        </w:rPr>
        <w:t xml:space="preserve"> Base Credit FTES used for funding District A is:</w:t>
      </w:r>
    </w:p>
    <w:p w14:paraId="13E96A88" w14:textId="77777777" w:rsidR="00B01B2B" w:rsidRPr="00CF29BB" w:rsidRDefault="00B01B2B" w:rsidP="00B01B2B">
      <w:pPr>
        <w:ind w:left="499" w:right="0"/>
        <w:jc w:val="center"/>
        <w:rPr>
          <w:rFonts w:ascii="Source Sans Pro" w:hAnsi="Source Sans Pro"/>
        </w:rPr>
      </w:pPr>
      <w:r w:rsidRPr="00CF29BB">
        <w:rPr>
          <w:rFonts w:ascii="Source Sans Pro" w:hAnsi="Source Sans Pro"/>
        </w:rPr>
        <w:t xml:space="preserve">(Base </w:t>
      </w:r>
      <w:r w:rsidR="00EE0B29">
        <w:rPr>
          <w:rFonts w:ascii="Source Sans Pro" w:hAnsi="Source Sans Pro"/>
        </w:rPr>
        <w:t>Three</w:t>
      </w:r>
      <w:r w:rsidRPr="00CF29BB">
        <w:rPr>
          <w:rFonts w:ascii="Source Sans Pro" w:hAnsi="Source Sans Pro"/>
        </w:rPr>
        <w:t>-Year Average + Growth FTES), or</w:t>
      </w:r>
    </w:p>
    <w:p w14:paraId="7CA893A8" w14:textId="77777777" w:rsidR="00B01B2B" w:rsidRPr="00CF29BB" w:rsidRDefault="005527DA" w:rsidP="00AD671C">
      <w:pPr>
        <w:ind w:left="499"/>
        <w:jc w:val="center"/>
        <w:rPr>
          <w:rFonts w:ascii="Source Sans Pro" w:hAnsi="Source Sans Pro"/>
          <w:b/>
        </w:rPr>
      </w:pPr>
      <w:r w:rsidRPr="00CF29BB">
        <w:rPr>
          <w:rFonts w:ascii="Source Sans Pro" w:hAnsi="Source Sans Pro"/>
        </w:rPr>
        <w:t>9,900</w:t>
      </w:r>
      <w:r w:rsidR="00B01B2B" w:rsidRPr="00CF29BB">
        <w:rPr>
          <w:rFonts w:ascii="Source Sans Pro" w:hAnsi="Source Sans Pro"/>
        </w:rPr>
        <w:t xml:space="preserve"> + </w:t>
      </w:r>
      <w:r w:rsidRPr="00CF29BB">
        <w:rPr>
          <w:rFonts w:ascii="Source Sans Pro" w:hAnsi="Source Sans Pro"/>
        </w:rPr>
        <w:t>198</w:t>
      </w:r>
      <w:r w:rsidR="00B01B2B" w:rsidRPr="00CF29BB">
        <w:rPr>
          <w:rFonts w:ascii="Source Sans Pro" w:hAnsi="Source Sans Pro"/>
        </w:rPr>
        <w:t xml:space="preserve"> = </w:t>
      </w:r>
      <w:r w:rsidR="00B01B2B" w:rsidRPr="00CF29BB">
        <w:rPr>
          <w:rFonts w:ascii="Source Sans Pro" w:hAnsi="Source Sans Pro"/>
          <w:b/>
        </w:rPr>
        <w:t>1</w:t>
      </w:r>
      <w:r w:rsidRPr="00CF29BB">
        <w:rPr>
          <w:rFonts w:ascii="Source Sans Pro" w:hAnsi="Source Sans Pro"/>
          <w:b/>
        </w:rPr>
        <w:t>0</w:t>
      </w:r>
      <w:r w:rsidR="00B01B2B" w:rsidRPr="00CF29BB">
        <w:rPr>
          <w:rFonts w:ascii="Source Sans Pro" w:hAnsi="Source Sans Pro"/>
          <w:b/>
        </w:rPr>
        <w:t>,</w:t>
      </w:r>
      <w:r w:rsidR="0002588D">
        <w:rPr>
          <w:rFonts w:ascii="Source Sans Pro" w:hAnsi="Source Sans Pro"/>
          <w:b/>
        </w:rPr>
        <w:t>0</w:t>
      </w:r>
      <w:r w:rsidRPr="00CF29BB">
        <w:rPr>
          <w:rFonts w:ascii="Source Sans Pro" w:hAnsi="Source Sans Pro"/>
          <w:b/>
        </w:rPr>
        <w:t>98</w:t>
      </w:r>
      <w:r w:rsidR="00B01B2B" w:rsidRPr="00CF29BB">
        <w:rPr>
          <w:rFonts w:ascii="Source Sans Pro" w:hAnsi="Source Sans Pro"/>
          <w:b/>
        </w:rPr>
        <w:t xml:space="preserve"> FTES</w:t>
      </w:r>
    </w:p>
    <w:p w14:paraId="6A359355" w14:textId="77777777" w:rsidR="005527DA" w:rsidRPr="00CF29BB" w:rsidRDefault="005527DA" w:rsidP="00B01B2B">
      <w:pPr>
        <w:ind w:left="499"/>
        <w:rPr>
          <w:rFonts w:ascii="Source Sans Pro" w:eastAsiaTheme="minorHAnsi" w:hAnsi="Source Sans Pro" w:cs="Times New Roman"/>
          <w:color w:val="auto"/>
          <w:sz w:val="18"/>
          <w:szCs w:val="18"/>
        </w:rPr>
      </w:pPr>
    </w:p>
    <w:p w14:paraId="24621519" w14:textId="77777777" w:rsidR="005527DA" w:rsidRPr="00CF29BB" w:rsidRDefault="005527DA" w:rsidP="00B01B2B">
      <w:pPr>
        <w:ind w:left="499"/>
        <w:rPr>
          <w:rFonts w:ascii="Source Sans Pro" w:eastAsiaTheme="minorHAnsi" w:hAnsi="Source Sans Pro" w:cs="Times New Roman"/>
          <w:color w:val="auto"/>
          <w:sz w:val="18"/>
          <w:szCs w:val="18"/>
        </w:rPr>
      </w:pPr>
    </w:p>
    <w:p w14:paraId="61D0252A" w14:textId="77777777" w:rsidR="0051517A" w:rsidRPr="00CF29BB" w:rsidRDefault="0051517A" w:rsidP="0051517A">
      <w:pPr>
        <w:ind w:left="499" w:right="0"/>
        <w:jc w:val="center"/>
        <w:rPr>
          <w:rFonts w:ascii="Source Sans Pro" w:hAnsi="Source Sans Pro"/>
        </w:rPr>
      </w:pPr>
      <w:r w:rsidRPr="00CF29BB">
        <w:rPr>
          <w:rFonts w:ascii="Source Sans Pro" w:hAnsi="Source Sans Pro"/>
        </w:rPr>
        <w:lastRenderedPageBreak/>
        <w:t>District B: Decline District</w:t>
      </w:r>
    </w:p>
    <w:tbl>
      <w:tblPr>
        <w:tblStyle w:val="TableGrid0"/>
        <w:tblW w:w="9246" w:type="dxa"/>
        <w:tblInd w:w="499" w:type="dxa"/>
        <w:tblLook w:val="04A0" w:firstRow="1" w:lastRow="0" w:firstColumn="1" w:lastColumn="0" w:noHBand="0" w:noVBand="1"/>
      </w:tblPr>
      <w:tblGrid>
        <w:gridCol w:w="2893"/>
        <w:gridCol w:w="1058"/>
        <w:gridCol w:w="1059"/>
        <w:gridCol w:w="1059"/>
        <w:gridCol w:w="1059"/>
        <w:gridCol w:w="1059"/>
        <w:gridCol w:w="1059"/>
      </w:tblGrid>
      <w:tr w:rsidR="0051517A" w:rsidRPr="00CF29BB" w14:paraId="7D65ABD8" w14:textId="77777777" w:rsidTr="00AD671C">
        <w:trPr>
          <w:trHeight w:val="792"/>
        </w:trPr>
        <w:tc>
          <w:tcPr>
            <w:tcW w:w="0" w:type="auto"/>
            <w:shd w:val="clear" w:color="auto" w:fill="002F6D"/>
            <w:vAlign w:val="center"/>
          </w:tcPr>
          <w:p w14:paraId="092EA83C" w14:textId="77777777" w:rsidR="0051517A" w:rsidRPr="00CF29BB" w:rsidRDefault="0051517A" w:rsidP="00AD671C">
            <w:pPr>
              <w:ind w:left="0" w:right="0" w:firstLine="0"/>
              <w:jc w:val="left"/>
              <w:rPr>
                <w:rFonts w:ascii="Source Sans Pro" w:hAnsi="Source Sans Pro"/>
                <w:color w:val="FFFFFF" w:themeColor="background1"/>
              </w:rPr>
            </w:pPr>
            <w:r w:rsidRPr="00CF29BB">
              <w:rPr>
                <w:rFonts w:ascii="Source Sans Pro" w:hAnsi="Source Sans Pro"/>
                <w:color w:val="FFFFFF" w:themeColor="background1"/>
              </w:rPr>
              <w:t>Year</w:t>
            </w:r>
          </w:p>
        </w:tc>
        <w:tc>
          <w:tcPr>
            <w:tcW w:w="0" w:type="auto"/>
            <w:shd w:val="clear" w:color="auto" w:fill="002F6D"/>
            <w:vAlign w:val="center"/>
          </w:tcPr>
          <w:p w14:paraId="5DF8AF75" w14:textId="77777777" w:rsidR="0051517A" w:rsidRPr="00CF29BB" w:rsidRDefault="00997E4F" w:rsidP="00AD671C">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51517A" w:rsidRPr="00CF29BB">
              <w:rPr>
                <w:rFonts w:ascii="Source Sans Pro" w:hAnsi="Source Sans Pro"/>
                <w:color w:val="FFFFFF" w:themeColor="background1"/>
              </w:rPr>
              <w:t>15/16 FTES</w:t>
            </w:r>
          </w:p>
        </w:tc>
        <w:tc>
          <w:tcPr>
            <w:tcW w:w="0" w:type="auto"/>
            <w:shd w:val="clear" w:color="auto" w:fill="002F6D"/>
            <w:vAlign w:val="center"/>
          </w:tcPr>
          <w:p w14:paraId="286FF50C" w14:textId="77777777" w:rsidR="0051517A" w:rsidRPr="00CF29BB" w:rsidRDefault="00997E4F" w:rsidP="00AD671C">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51517A" w:rsidRPr="00CF29BB">
              <w:rPr>
                <w:rFonts w:ascii="Source Sans Pro" w:hAnsi="Source Sans Pro"/>
                <w:color w:val="FFFFFF" w:themeColor="background1"/>
              </w:rPr>
              <w:t>16/17 FTES</w:t>
            </w:r>
          </w:p>
        </w:tc>
        <w:tc>
          <w:tcPr>
            <w:tcW w:w="0" w:type="auto"/>
            <w:shd w:val="clear" w:color="auto" w:fill="002F6D"/>
            <w:vAlign w:val="center"/>
          </w:tcPr>
          <w:p w14:paraId="6A188328" w14:textId="77777777" w:rsidR="0051517A" w:rsidRPr="00CF29BB" w:rsidRDefault="00997E4F" w:rsidP="00AD671C">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51517A" w:rsidRPr="00CF29BB">
              <w:rPr>
                <w:rFonts w:ascii="Source Sans Pro" w:hAnsi="Source Sans Pro"/>
                <w:color w:val="FFFFFF" w:themeColor="background1"/>
              </w:rPr>
              <w:t>17/18 FTES</w:t>
            </w:r>
          </w:p>
        </w:tc>
        <w:tc>
          <w:tcPr>
            <w:tcW w:w="0" w:type="auto"/>
            <w:shd w:val="clear" w:color="auto" w:fill="002F6D"/>
            <w:vAlign w:val="center"/>
          </w:tcPr>
          <w:p w14:paraId="496C7F68" w14:textId="77777777" w:rsidR="0051517A" w:rsidRPr="00CF29BB" w:rsidRDefault="00997E4F" w:rsidP="00AD671C">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51517A" w:rsidRPr="00CF29BB">
              <w:rPr>
                <w:rFonts w:ascii="Source Sans Pro" w:hAnsi="Source Sans Pro"/>
                <w:color w:val="FFFFFF" w:themeColor="background1"/>
              </w:rPr>
              <w:t>18/19 FTES</w:t>
            </w:r>
          </w:p>
        </w:tc>
        <w:tc>
          <w:tcPr>
            <w:tcW w:w="0" w:type="auto"/>
            <w:shd w:val="clear" w:color="auto" w:fill="002F6D"/>
            <w:vAlign w:val="center"/>
          </w:tcPr>
          <w:p w14:paraId="62608582" w14:textId="77777777" w:rsidR="0051517A" w:rsidRPr="00CF29BB" w:rsidRDefault="00997E4F" w:rsidP="00AD671C">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51517A" w:rsidRPr="00CF29BB">
              <w:rPr>
                <w:rFonts w:ascii="Source Sans Pro" w:hAnsi="Source Sans Pro"/>
                <w:color w:val="FFFFFF" w:themeColor="background1"/>
              </w:rPr>
              <w:t>19/20 FTES</w:t>
            </w:r>
          </w:p>
        </w:tc>
        <w:tc>
          <w:tcPr>
            <w:tcW w:w="0" w:type="auto"/>
            <w:shd w:val="clear" w:color="auto" w:fill="002F6D"/>
            <w:vAlign w:val="center"/>
          </w:tcPr>
          <w:p w14:paraId="2BEEA611" w14:textId="77777777" w:rsidR="0051517A" w:rsidRPr="00CF29BB" w:rsidRDefault="00997E4F" w:rsidP="00AD671C">
            <w:pPr>
              <w:ind w:left="0" w:right="0" w:firstLine="0"/>
              <w:jc w:val="center"/>
              <w:rPr>
                <w:rFonts w:ascii="Source Sans Pro" w:hAnsi="Source Sans Pro"/>
                <w:color w:val="FFFFFF" w:themeColor="background1"/>
              </w:rPr>
            </w:pPr>
            <w:r>
              <w:rPr>
                <w:rFonts w:ascii="Source Sans Pro" w:hAnsi="Source Sans Pro"/>
                <w:color w:val="FFFFFF" w:themeColor="background1"/>
              </w:rPr>
              <w:t>20</w:t>
            </w:r>
            <w:r w:rsidR="0051517A" w:rsidRPr="00CF29BB">
              <w:rPr>
                <w:rFonts w:ascii="Source Sans Pro" w:hAnsi="Source Sans Pro"/>
                <w:color w:val="FFFFFF" w:themeColor="background1"/>
              </w:rPr>
              <w:t>20/21 FTES</w:t>
            </w:r>
          </w:p>
        </w:tc>
      </w:tr>
      <w:tr w:rsidR="0051517A" w:rsidRPr="00CF29BB" w14:paraId="47CF4322" w14:textId="77777777" w:rsidTr="0051517A">
        <w:trPr>
          <w:trHeight w:val="509"/>
        </w:trPr>
        <w:tc>
          <w:tcPr>
            <w:tcW w:w="0" w:type="auto"/>
          </w:tcPr>
          <w:p w14:paraId="407E7D39" w14:textId="77777777" w:rsidR="0051517A" w:rsidRPr="00CF29BB" w:rsidRDefault="0051517A" w:rsidP="00FD7B3A">
            <w:pPr>
              <w:ind w:left="0" w:right="0" w:firstLine="0"/>
              <w:rPr>
                <w:rFonts w:ascii="Source Sans Pro" w:hAnsi="Source Sans Pro"/>
              </w:rPr>
            </w:pPr>
            <w:r w:rsidRPr="00CF29BB">
              <w:rPr>
                <w:rFonts w:ascii="Source Sans Pro" w:hAnsi="Source Sans Pro"/>
              </w:rPr>
              <w:t xml:space="preserve">FTES reported on </w:t>
            </w:r>
            <w:r w:rsidR="00187282">
              <w:rPr>
                <w:rFonts w:ascii="Source Sans Pro" w:hAnsi="Source Sans Pro"/>
              </w:rPr>
              <w:t xml:space="preserve">Form </w:t>
            </w:r>
            <w:r w:rsidRPr="00CF29BB">
              <w:rPr>
                <w:rFonts w:ascii="Source Sans Pro" w:hAnsi="Source Sans Pro"/>
              </w:rPr>
              <w:t>320*</w:t>
            </w:r>
          </w:p>
        </w:tc>
        <w:tc>
          <w:tcPr>
            <w:tcW w:w="0" w:type="auto"/>
          </w:tcPr>
          <w:p w14:paraId="4F96C202" w14:textId="77777777" w:rsidR="0051517A" w:rsidRPr="00CF29BB" w:rsidRDefault="0051517A" w:rsidP="00FD7B3A">
            <w:pPr>
              <w:ind w:left="0" w:right="0" w:firstLine="0"/>
              <w:rPr>
                <w:rFonts w:ascii="Source Sans Pro" w:hAnsi="Source Sans Pro"/>
              </w:rPr>
            </w:pPr>
            <w:r w:rsidRPr="00CF29BB">
              <w:rPr>
                <w:rFonts w:ascii="Source Sans Pro" w:hAnsi="Source Sans Pro"/>
              </w:rPr>
              <w:t>10,200</w:t>
            </w:r>
          </w:p>
        </w:tc>
        <w:tc>
          <w:tcPr>
            <w:tcW w:w="0" w:type="auto"/>
          </w:tcPr>
          <w:p w14:paraId="659D9972" w14:textId="77777777" w:rsidR="0051517A" w:rsidRPr="00CF29BB" w:rsidRDefault="0051517A" w:rsidP="00FD7B3A">
            <w:pPr>
              <w:ind w:left="0" w:right="0" w:firstLine="0"/>
              <w:rPr>
                <w:rFonts w:ascii="Source Sans Pro" w:hAnsi="Source Sans Pro"/>
              </w:rPr>
            </w:pPr>
            <w:r w:rsidRPr="00CF29BB">
              <w:rPr>
                <w:rFonts w:ascii="Source Sans Pro" w:hAnsi="Source Sans Pro"/>
              </w:rPr>
              <w:t>9,500</w:t>
            </w:r>
          </w:p>
        </w:tc>
        <w:tc>
          <w:tcPr>
            <w:tcW w:w="0" w:type="auto"/>
          </w:tcPr>
          <w:p w14:paraId="6A1498A2" w14:textId="77777777" w:rsidR="0051517A" w:rsidRPr="00CF29BB" w:rsidRDefault="0051517A" w:rsidP="00FD7B3A">
            <w:pPr>
              <w:ind w:left="0" w:right="0" w:firstLine="0"/>
              <w:rPr>
                <w:rFonts w:ascii="Source Sans Pro" w:hAnsi="Source Sans Pro"/>
              </w:rPr>
            </w:pPr>
            <w:r w:rsidRPr="00CF29BB">
              <w:rPr>
                <w:rFonts w:ascii="Source Sans Pro" w:hAnsi="Source Sans Pro"/>
              </w:rPr>
              <w:t>10,000</w:t>
            </w:r>
          </w:p>
        </w:tc>
        <w:tc>
          <w:tcPr>
            <w:tcW w:w="0" w:type="auto"/>
          </w:tcPr>
          <w:p w14:paraId="3330601C" w14:textId="77777777" w:rsidR="0051517A" w:rsidRPr="00CF29BB" w:rsidRDefault="0051517A" w:rsidP="00FD7B3A">
            <w:pPr>
              <w:ind w:left="0" w:right="0" w:firstLine="0"/>
              <w:rPr>
                <w:rFonts w:ascii="Source Sans Pro" w:hAnsi="Source Sans Pro"/>
              </w:rPr>
            </w:pPr>
            <w:r w:rsidRPr="00CF29BB">
              <w:rPr>
                <w:rFonts w:ascii="Source Sans Pro" w:hAnsi="Source Sans Pro"/>
              </w:rPr>
              <w:t>9,500</w:t>
            </w:r>
          </w:p>
        </w:tc>
        <w:tc>
          <w:tcPr>
            <w:tcW w:w="0" w:type="auto"/>
          </w:tcPr>
          <w:p w14:paraId="61E3E32B" w14:textId="77777777" w:rsidR="0051517A" w:rsidRPr="00CF29BB" w:rsidRDefault="0051517A" w:rsidP="00FD7B3A">
            <w:pPr>
              <w:ind w:left="0" w:right="0" w:firstLine="0"/>
              <w:rPr>
                <w:rFonts w:ascii="Source Sans Pro" w:hAnsi="Source Sans Pro"/>
              </w:rPr>
            </w:pPr>
            <w:r w:rsidRPr="00CF29BB">
              <w:rPr>
                <w:rFonts w:ascii="Source Sans Pro" w:hAnsi="Source Sans Pro"/>
              </w:rPr>
              <w:t>9,000</w:t>
            </w:r>
          </w:p>
        </w:tc>
        <w:tc>
          <w:tcPr>
            <w:tcW w:w="0" w:type="auto"/>
          </w:tcPr>
          <w:p w14:paraId="7E8ED005" w14:textId="77777777" w:rsidR="0051517A" w:rsidRPr="00CF29BB" w:rsidRDefault="0051517A" w:rsidP="00FD7B3A">
            <w:pPr>
              <w:ind w:left="0" w:right="0" w:firstLine="0"/>
              <w:rPr>
                <w:rFonts w:ascii="Source Sans Pro" w:hAnsi="Source Sans Pro"/>
              </w:rPr>
            </w:pPr>
            <w:r w:rsidRPr="00CF29BB">
              <w:rPr>
                <w:rFonts w:ascii="Source Sans Pro" w:hAnsi="Source Sans Pro"/>
              </w:rPr>
              <w:t>8,700</w:t>
            </w:r>
          </w:p>
        </w:tc>
      </w:tr>
      <w:tr w:rsidR="0051517A" w:rsidRPr="00CF29BB" w14:paraId="73C2D451" w14:textId="77777777" w:rsidTr="0051517A">
        <w:trPr>
          <w:trHeight w:val="1070"/>
        </w:trPr>
        <w:tc>
          <w:tcPr>
            <w:tcW w:w="0" w:type="auto"/>
          </w:tcPr>
          <w:p w14:paraId="754F37CE" w14:textId="77777777" w:rsidR="0051517A" w:rsidRPr="00CF29BB" w:rsidRDefault="0051517A" w:rsidP="00FD7B3A">
            <w:pPr>
              <w:ind w:left="10"/>
              <w:jc w:val="left"/>
              <w:rPr>
                <w:rFonts w:ascii="Source Sans Pro" w:hAnsi="Source Sans Pro"/>
              </w:rPr>
            </w:pPr>
            <w:r w:rsidRPr="00CF29BB">
              <w:rPr>
                <w:rFonts w:ascii="Source Sans Pro" w:hAnsi="Source Sans Pro"/>
              </w:rPr>
              <w:t xml:space="preserve">FTES: highest number applied in previous </w:t>
            </w:r>
            <w:r w:rsidR="00830B49">
              <w:rPr>
                <w:rFonts w:ascii="Source Sans Pro" w:hAnsi="Source Sans Pro"/>
              </w:rPr>
              <w:t>three</w:t>
            </w:r>
            <w:r w:rsidRPr="00CF29BB">
              <w:rPr>
                <w:rFonts w:ascii="Source Sans Pro" w:hAnsi="Source Sans Pro"/>
              </w:rPr>
              <w:t xml:space="preserve"> years (includes previous years’ funded growth)</w:t>
            </w:r>
          </w:p>
        </w:tc>
        <w:tc>
          <w:tcPr>
            <w:tcW w:w="0" w:type="auto"/>
          </w:tcPr>
          <w:p w14:paraId="7B1CCC79" w14:textId="77777777" w:rsidR="0051517A" w:rsidRPr="00CF29BB" w:rsidRDefault="0051517A" w:rsidP="00FD7B3A">
            <w:pPr>
              <w:ind w:left="0" w:right="0" w:firstLine="0"/>
              <w:rPr>
                <w:rFonts w:ascii="Source Sans Pro" w:hAnsi="Source Sans Pro"/>
              </w:rPr>
            </w:pPr>
            <w:r w:rsidRPr="00CF29BB">
              <w:rPr>
                <w:rFonts w:ascii="Source Sans Pro" w:hAnsi="Source Sans Pro"/>
              </w:rPr>
              <w:t>10,200</w:t>
            </w:r>
          </w:p>
        </w:tc>
        <w:tc>
          <w:tcPr>
            <w:tcW w:w="0" w:type="auto"/>
          </w:tcPr>
          <w:p w14:paraId="1ADD3ADD" w14:textId="77777777" w:rsidR="0051517A" w:rsidRPr="00CF29BB" w:rsidRDefault="0051517A" w:rsidP="00FD7B3A">
            <w:pPr>
              <w:ind w:left="0" w:right="0" w:firstLine="0"/>
              <w:rPr>
                <w:rFonts w:ascii="Source Sans Pro" w:hAnsi="Source Sans Pro"/>
              </w:rPr>
            </w:pPr>
            <w:r w:rsidRPr="00CF29BB">
              <w:rPr>
                <w:rFonts w:ascii="Source Sans Pro" w:hAnsi="Source Sans Pro"/>
              </w:rPr>
              <w:t>10,200</w:t>
            </w:r>
          </w:p>
        </w:tc>
        <w:tc>
          <w:tcPr>
            <w:tcW w:w="0" w:type="auto"/>
          </w:tcPr>
          <w:p w14:paraId="34280255" w14:textId="77777777" w:rsidR="0051517A" w:rsidRPr="00CF29BB" w:rsidRDefault="0051517A" w:rsidP="00FD7B3A">
            <w:pPr>
              <w:ind w:left="0" w:right="0" w:firstLine="0"/>
              <w:rPr>
                <w:rFonts w:ascii="Source Sans Pro" w:hAnsi="Source Sans Pro"/>
              </w:rPr>
            </w:pPr>
            <w:r w:rsidRPr="00CF29BB">
              <w:rPr>
                <w:rFonts w:ascii="Source Sans Pro" w:hAnsi="Source Sans Pro"/>
              </w:rPr>
              <w:t>10,200</w:t>
            </w:r>
          </w:p>
        </w:tc>
        <w:tc>
          <w:tcPr>
            <w:tcW w:w="0" w:type="auto"/>
          </w:tcPr>
          <w:p w14:paraId="7DEE4CBE" w14:textId="77777777" w:rsidR="0051517A" w:rsidRPr="00CF29BB" w:rsidRDefault="0051517A" w:rsidP="00FD7B3A">
            <w:pPr>
              <w:ind w:left="0" w:right="0" w:firstLine="0"/>
              <w:rPr>
                <w:rFonts w:ascii="Source Sans Pro" w:hAnsi="Source Sans Pro"/>
              </w:rPr>
            </w:pPr>
            <w:r w:rsidRPr="00CF29BB">
              <w:rPr>
                <w:rFonts w:ascii="Source Sans Pro" w:hAnsi="Source Sans Pro"/>
              </w:rPr>
              <w:t>10,200</w:t>
            </w:r>
          </w:p>
        </w:tc>
        <w:tc>
          <w:tcPr>
            <w:tcW w:w="0" w:type="auto"/>
          </w:tcPr>
          <w:p w14:paraId="3A031B5F" w14:textId="77777777" w:rsidR="0051517A" w:rsidRPr="00CF29BB" w:rsidRDefault="0051517A" w:rsidP="00FD7B3A">
            <w:pPr>
              <w:ind w:left="0" w:right="0" w:firstLine="0"/>
              <w:rPr>
                <w:rFonts w:ascii="Source Sans Pro" w:hAnsi="Source Sans Pro"/>
              </w:rPr>
            </w:pPr>
            <w:r w:rsidRPr="00CF29BB">
              <w:rPr>
                <w:rFonts w:ascii="Source Sans Pro" w:hAnsi="Source Sans Pro"/>
              </w:rPr>
              <w:t>10,000</w:t>
            </w:r>
          </w:p>
        </w:tc>
        <w:tc>
          <w:tcPr>
            <w:tcW w:w="0" w:type="auto"/>
          </w:tcPr>
          <w:p w14:paraId="243DD937" w14:textId="77777777" w:rsidR="0051517A" w:rsidRPr="00CF29BB" w:rsidRDefault="0051517A" w:rsidP="00FD7B3A">
            <w:pPr>
              <w:ind w:left="0" w:right="0" w:firstLine="0"/>
              <w:rPr>
                <w:rFonts w:ascii="Source Sans Pro" w:hAnsi="Source Sans Pro"/>
              </w:rPr>
            </w:pPr>
            <w:r w:rsidRPr="00CF29BB">
              <w:rPr>
                <w:rFonts w:ascii="Source Sans Pro" w:hAnsi="Source Sans Pro"/>
              </w:rPr>
              <w:t>10,000</w:t>
            </w:r>
          </w:p>
        </w:tc>
      </w:tr>
      <w:tr w:rsidR="0051517A" w:rsidRPr="00CF29BB" w14:paraId="52E02B23" w14:textId="77777777" w:rsidTr="0051517A">
        <w:trPr>
          <w:trHeight w:val="792"/>
        </w:trPr>
        <w:tc>
          <w:tcPr>
            <w:tcW w:w="0" w:type="auto"/>
          </w:tcPr>
          <w:p w14:paraId="14581041" w14:textId="77777777" w:rsidR="0051517A" w:rsidRPr="00CF29BB" w:rsidRDefault="0051517A" w:rsidP="00FD7B3A">
            <w:pPr>
              <w:ind w:left="0" w:right="0" w:firstLine="0"/>
              <w:rPr>
                <w:rFonts w:ascii="Source Sans Pro" w:hAnsi="Source Sans Pro"/>
              </w:rPr>
            </w:pPr>
            <w:r w:rsidRPr="00CF29BB">
              <w:rPr>
                <w:rFonts w:ascii="Source Sans Pro" w:hAnsi="Source Sans Pro"/>
              </w:rPr>
              <w:t>Lower of reported on</w:t>
            </w:r>
            <w:r w:rsidR="00187282">
              <w:rPr>
                <w:rFonts w:ascii="Source Sans Pro" w:hAnsi="Source Sans Pro"/>
              </w:rPr>
              <w:t xml:space="preserve"> Form</w:t>
            </w:r>
            <w:r w:rsidRPr="00CF29BB">
              <w:rPr>
                <w:rFonts w:ascii="Source Sans Pro" w:hAnsi="Source Sans Pro"/>
              </w:rPr>
              <w:t xml:space="preserve"> 320 OR highest applied in previous </w:t>
            </w:r>
            <w:r w:rsidR="00830B49">
              <w:rPr>
                <w:rFonts w:ascii="Source Sans Pro" w:hAnsi="Source Sans Pro"/>
              </w:rPr>
              <w:t>three</w:t>
            </w:r>
            <w:r w:rsidRPr="00CF29BB">
              <w:rPr>
                <w:rFonts w:ascii="Source Sans Pro" w:hAnsi="Source Sans Pro"/>
              </w:rPr>
              <w:t xml:space="preserve"> years</w:t>
            </w:r>
          </w:p>
        </w:tc>
        <w:tc>
          <w:tcPr>
            <w:tcW w:w="0" w:type="auto"/>
          </w:tcPr>
          <w:p w14:paraId="11744596" w14:textId="77777777" w:rsidR="0051517A" w:rsidRPr="00CF29BB" w:rsidRDefault="0051517A" w:rsidP="00FD7B3A">
            <w:pPr>
              <w:ind w:left="0" w:right="0" w:firstLine="0"/>
              <w:rPr>
                <w:rFonts w:ascii="Source Sans Pro" w:hAnsi="Source Sans Pro"/>
              </w:rPr>
            </w:pPr>
            <w:r w:rsidRPr="00CF29BB">
              <w:rPr>
                <w:rFonts w:ascii="Source Sans Pro" w:hAnsi="Source Sans Pro"/>
              </w:rPr>
              <w:t>10,200</w:t>
            </w:r>
          </w:p>
        </w:tc>
        <w:tc>
          <w:tcPr>
            <w:tcW w:w="0" w:type="auto"/>
          </w:tcPr>
          <w:p w14:paraId="349E5945" w14:textId="77777777" w:rsidR="0051517A" w:rsidRPr="00CF29BB" w:rsidRDefault="0051517A" w:rsidP="00FD7B3A">
            <w:pPr>
              <w:ind w:left="0" w:right="0" w:firstLine="0"/>
              <w:rPr>
                <w:rFonts w:ascii="Source Sans Pro" w:hAnsi="Source Sans Pro"/>
              </w:rPr>
            </w:pPr>
            <w:r w:rsidRPr="00CF29BB">
              <w:rPr>
                <w:rFonts w:ascii="Source Sans Pro" w:hAnsi="Source Sans Pro"/>
              </w:rPr>
              <w:t>9,500</w:t>
            </w:r>
          </w:p>
        </w:tc>
        <w:tc>
          <w:tcPr>
            <w:tcW w:w="0" w:type="auto"/>
          </w:tcPr>
          <w:p w14:paraId="39D3745F" w14:textId="77777777" w:rsidR="0051517A" w:rsidRPr="00CF29BB" w:rsidRDefault="0051517A" w:rsidP="00FD7B3A">
            <w:pPr>
              <w:ind w:left="0" w:right="0" w:firstLine="0"/>
              <w:rPr>
                <w:rFonts w:ascii="Source Sans Pro" w:hAnsi="Source Sans Pro"/>
              </w:rPr>
            </w:pPr>
            <w:r w:rsidRPr="00CF29BB">
              <w:rPr>
                <w:rFonts w:ascii="Source Sans Pro" w:hAnsi="Source Sans Pro"/>
              </w:rPr>
              <w:t>10,000</w:t>
            </w:r>
          </w:p>
        </w:tc>
        <w:tc>
          <w:tcPr>
            <w:tcW w:w="0" w:type="auto"/>
          </w:tcPr>
          <w:p w14:paraId="00244538" w14:textId="77777777" w:rsidR="0051517A" w:rsidRPr="00CF29BB" w:rsidRDefault="0051517A" w:rsidP="00FD7B3A">
            <w:pPr>
              <w:ind w:left="0" w:right="0" w:firstLine="0"/>
              <w:rPr>
                <w:rFonts w:ascii="Source Sans Pro" w:hAnsi="Source Sans Pro"/>
              </w:rPr>
            </w:pPr>
            <w:r w:rsidRPr="00CF29BB">
              <w:rPr>
                <w:rFonts w:ascii="Source Sans Pro" w:hAnsi="Source Sans Pro"/>
              </w:rPr>
              <w:t>9,500</w:t>
            </w:r>
          </w:p>
        </w:tc>
        <w:tc>
          <w:tcPr>
            <w:tcW w:w="0" w:type="auto"/>
          </w:tcPr>
          <w:p w14:paraId="0A802D9E" w14:textId="77777777" w:rsidR="0051517A" w:rsidRPr="00CF29BB" w:rsidRDefault="0051517A" w:rsidP="00FD7B3A">
            <w:pPr>
              <w:ind w:left="0" w:right="0" w:firstLine="0"/>
              <w:rPr>
                <w:rFonts w:ascii="Source Sans Pro" w:hAnsi="Source Sans Pro"/>
              </w:rPr>
            </w:pPr>
            <w:r w:rsidRPr="00CF29BB">
              <w:rPr>
                <w:rFonts w:ascii="Source Sans Pro" w:hAnsi="Source Sans Pro"/>
              </w:rPr>
              <w:t>9,000</w:t>
            </w:r>
          </w:p>
        </w:tc>
        <w:tc>
          <w:tcPr>
            <w:tcW w:w="0" w:type="auto"/>
          </w:tcPr>
          <w:p w14:paraId="7262C9AF" w14:textId="77777777" w:rsidR="0051517A" w:rsidRPr="00CF29BB" w:rsidRDefault="0051517A" w:rsidP="00FD7B3A">
            <w:pPr>
              <w:ind w:left="0" w:right="0" w:firstLine="0"/>
              <w:rPr>
                <w:rFonts w:ascii="Source Sans Pro" w:hAnsi="Source Sans Pro"/>
              </w:rPr>
            </w:pPr>
            <w:r w:rsidRPr="00CF29BB">
              <w:rPr>
                <w:rFonts w:ascii="Source Sans Pro" w:hAnsi="Source Sans Pro"/>
              </w:rPr>
              <w:t>8,700</w:t>
            </w:r>
          </w:p>
        </w:tc>
      </w:tr>
      <w:tr w:rsidR="0051517A" w:rsidRPr="00CF29BB" w14:paraId="7B0427E5" w14:textId="77777777" w:rsidTr="0051517A">
        <w:trPr>
          <w:trHeight w:val="514"/>
        </w:trPr>
        <w:tc>
          <w:tcPr>
            <w:tcW w:w="0" w:type="auto"/>
          </w:tcPr>
          <w:p w14:paraId="7CE3AFE8" w14:textId="77777777" w:rsidR="0051517A" w:rsidRPr="00CF29BB" w:rsidRDefault="0051517A" w:rsidP="00FD7B3A">
            <w:pPr>
              <w:ind w:left="0" w:right="0" w:firstLine="0"/>
              <w:jc w:val="left"/>
              <w:rPr>
                <w:rFonts w:ascii="Source Sans Pro" w:hAnsi="Source Sans Pro"/>
              </w:rPr>
            </w:pPr>
            <w:r w:rsidRPr="00CF29BB">
              <w:rPr>
                <w:rFonts w:ascii="Source Sans Pro" w:hAnsi="Source Sans Pro"/>
              </w:rPr>
              <w:t>Achieved Growth**</w:t>
            </w:r>
          </w:p>
        </w:tc>
        <w:tc>
          <w:tcPr>
            <w:tcW w:w="0" w:type="auto"/>
          </w:tcPr>
          <w:p w14:paraId="45E06173" w14:textId="77777777" w:rsidR="0051517A" w:rsidRPr="00CF29BB" w:rsidRDefault="0051517A" w:rsidP="00FD7B3A">
            <w:pPr>
              <w:ind w:left="0" w:right="0" w:firstLine="0"/>
              <w:jc w:val="left"/>
              <w:rPr>
                <w:rFonts w:ascii="Source Sans Pro" w:hAnsi="Source Sans Pro"/>
              </w:rPr>
            </w:pPr>
          </w:p>
        </w:tc>
        <w:tc>
          <w:tcPr>
            <w:tcW w:w="0" w:type="auto"/>
          </w:tcPr>
          <w:p w14:paraId="4C075085" w14:textId="77777777" w:rsidR="0051517A" w:rsidRPr="00CF29BB" w:rsidRDefault="0051517A" w:rsidP="00FD7B3A">
            <w:pPr>
              <w:ind w:left="0" w:right="0" w:firstLine="0"/>
              <w:jc w:val="left"/>
              <w:rPr>
                <w:rFonts w:ascii="Source Sans Pro" w:hAnsi="Source Sans Pro"/>
              </w:rPr>
            </w:pPr>
          </w:p>
        </w:tc>
        <w:tc>
          <w:tcPr>
            <w:tcW w:w="0" w:type="auto"/>
          </w:tcPr>
          <w:p w14:paraId="4FA8CCB1" w14:textId="77777777" w:rsidR="0051517A" w:rsidRPr="00CF29BB" w:rsidRDefault="0051517A" w:rsidP="00FD7B3A">
            <w:pPr>
              <w:ind w:left="0" w:right="0" w:firstLine="0"/>
              <w:jc w:val="left"/>
              <w:rPr>
                <w:rFonts w:ascii="Source Sans Pro" w:hAnsi="Source Sans Pro"/>
              </w:rPr>
            </w:pPr>
          </w:p>
        </w:tc>
        <w:tc>
          <w:tcPr>
            <w:tcW w:w="0" w:type="auto"/>
          </w:tcPr>
          <w:p w14:paraId="19C17BFE" w14:textId="77777777" w:rsidR="0051517A" w:rsidRPr="00CF29BB" w:rsidRDefault="0051517A" w:rsidP="00FD7B3A">
            <w:pPr>
              <w:ind w:left="0" w:right="0" w:firstLine="0"/>
              <w:jc w:val="left"/>
              <w:rPr>
                <w:rFonts w:ascii="Source Sans Pro" w:hAnsi="Source Sans Pro"/>
              </w:rPr>
            </w:pPr>
            <w:r w:rsidRPr="00CF29BB">
              <w:rPr>
                <w:rFonts w:ascii="Source Sans Pro" w:hAnsi="Source Sans Pro"/>
              </w:rPr>
              <w:t>0</w:t>
            </w:r>
          </w:p>
        </w:tc>
        <w:tc>
          <w:tcPr>
            <w:tcW w:w="0" w:type="auto"/>
          </w:tcPr>
          <w:p w14:paraId="2EBE8303" w14:textId="77777777" w:rsidR="0051517A" w:rsidRPr="00CF29BB" w:rsidRDefault="0051517A" w:rsidP="00FD7B3A">
            <w:pPr>
              <w:ind w:left="0" w:right="0" w:firstLine="0"/>
              <w:jc w:val="left"/>
              <w:rPr>
                <w:rFonts w:ascii="Source Sans Pro" w:hAnsi="Source Sans Pro"/>
              </w:rPr>
            </w:pPr>
            <w:r w:rsidRPr="00CF29BB">
              <w:rPr>
                <w:rFonts w:ascii="Source Sans Pro" w:hAnsi="Source Sans Pro"/>
              </w:rPr>
              <w:t>0</w:t>
            </w:r>
          </w:p>
        </w:tc>
        <w:tc>
          <w:tcPr>
            <w:tcW w:w="0" w:type="auto"/>
          </w:tcPr>
          <w:p w14:paraId="5DB4C55B" w14:textId="77777777" w:rsidR="0051517A" w:rsidRPr="00CF29BB" w:rsidRDefault="0051517A" w:rsidP="00FD7B3A">
            <w:pPr>
              <w:ind w:left="0" w:right="0" w:firstLine="0"/>
              <w:jc w:val="left"/>
              <w:rPr>
                <w:rFonts w:ascii="Source Sans Pro" w:hAnsi="Source Sans Pro"/>
              </w:rPr>
            </w:pPr>
            <w:r w:rsidRPr="00CF29BB">
              <w:rPr>
                <w:rFonts w:ascii="Source Sans Pro" w:hAnsi="Source Sans Pro"/>
              </w:rPr>
              <w:t>0</w:t>
            </w:r>
          </w:p>
        </w:tc>
      </w:tr>
      <w:tr w:rsidR="0051517A" w:rsidRPr="00CF29BB" w14:paraId="6747CE12" w14:textId="77777777" w:rsidTr="0051517A">
        <w:trPr>
          <w:trHeight w:val="318"/>
        </w:trPr>
        <w:tc>
          <w:tcPr>
            <w:tcW w:w="0" w:type="auto"/>
          </w:tcPr>
          <w:p w14:paraId="697B7559" w14:textId="77777777" w:rsidR="0051517A" w:rsidRPr="00CF29BB" w:rsidRDefault="00830B49" w:rsidP="00FD7B3A">
            <w:pPr>
              <w:ind w:left="0" w:right="0" w:firstLine="0"/>
              <w:jc w:val="left"/>
              <w:rPr>
                <w:rFonts w:ascii="Source Sans Pro" w:hAnsi="Source Sans Pro"/>
              </w:rPr>
            </w:pPr>
            <w:r>
              <w:rPr>
                <w:rFonts w:ascii="Source Sans Pro" w:hAnsi="Source Sans Pro"/>
              </w:rPr>
              <w:t>Three</w:t>
            </w:r>
            <w:r w:rsidR="00C03062">
              <w:rPr>
                <w:rFonts w:ascii="Source Sans Pro" w:hAnsi="Source Sans Pro"/>
              </w:rPr>
              <w:t>-</w:t>
            </w:r>
            <w:r w:rsidR="0051517A" w:rsidRPr="00CF29BB">
              <w:rPr>
                <w:rFonts w:ascii="Source Sans Pro" w:hAnsi="Source Sans Pro"/>
              </w:rPr>
              <w:t>Year Average***</w:t>
            </w:r>
          </w:p>
        </w:tc>
        <w:tc>
          <w:tcPr>
            <w:tcW w:w="0" w:type="auto"/>
          </w:tcPr>
          <w:p w14:paraId="4051CC98" w14:textId="77777777" w:rsidR="0051517A" w:rsidRPr="00CF29BB" w:rsidRDefault="0051517A" w:rsidP="00FD7B3A">
            <w:pPr>
              <w:ind w:left="0" w:right="0" w:firstLine="0"/>
              <w:jc w:val="left"/>
              <w:rPr>
                <w:rFonts w:ascii="Source Sans Pro" w:hAnsi="Source Sans Pro"/>
              </w:rPr>
            </w:pPr>
          </w:p>
        </w:tc>
        <w:tc>
          <w:tcPr>
            <w:tcW w:w="0" w:type="auto"/>
          </w:tcPr>
          <w:p w14:paraId="1D22C753" w14:textId="77777777" w:rsidR="0051517A" w:rsidRPr="00CF29BB" w:rsidRDefault="0051517A" w:rsidP="00FD7B3A">
            <w:pPr>
              <w:ind w:left="0" w:right="0" w:firstLine="0"/>
              <w:jc w:val="left"/>
              <w:rPr>
                <w:rFonts w:ascii="Source Sans Pro" w:hAnsi="Source Sans Pro"/>
              </w:rPr>
            </w:pPr>
          </w:p>
        </w:tc>
        <w:tc>
          <w:tcPr>
            <w:tcW w:w="0" w:type="auto"/>
          </w:tcPr>
          <w:p w14:paraId="5A458867" w14:textId="77777777" w:rsidR="0051517A" w:rsidRPr="00CF29BB" w:rsidRDefault="0051517A" w:rsidP="00FD7B3A">
            <w:pPr>
              <w:ind w:left="0" w:right="0" w:firstLine="0"/>
              <w:jc w:val="left"/>
              <w:rPr>
                <w:rFonts w:ascii="Source Sans Pro" w:hAnsi="Source Sans Pro"/>
              </w:rPr>
            </w:pPr>
          </w:p>
        </w:tc>
        <w:tc>
          <w:tcPr>
            <w:tcW w:w="0" w:type="auto"/>
          </w:tcPr>
          <w:p w14:paraId="388EBBAC" w14:textId="77777777" w:rsidR="0051517A" w:rsidRPr="00CF29BB" w:rsidRDefault="0051517A" w:rsidP="00FD7B3A">
            <w:pPr>
              <w:ind w:left="0" w:right="0" w:firstLine="0"/>
              <w:jc w:val="left"/>
              <w:rPr>
                <w:rFonts w:ascii="Source Sans Pro" w:hAnsi="Source Sans Pro"/>
              </w:rPr>
            </w:pPr>
            <w:r w:rsidRPr="00CF29BB">
              <w:rPr>
                <w:rFonts w:ascii="Source Sans Pro" w:hAnsi="Source Sans Pro"/>
              </w:rPr>
              <w:t>9,667</w:t>
            </w:r>
          </w:p>
        </w:tc>
        <w:tc>
          <w:tcPr>
            <w:tcW w:w="0" w:type="auto"/>
          </w:tcPr>
          <w:p w14:paraId="56C290AC" w14:textId="77777777" w:rsidR="0051517A" w:rsidRPr="00CF29BB" w:rsidRDefault="0051517A" w:rsidP="00FD7B3A">
            <w:pPr>
              <w:ind w:left="0" w:right="0" w:firstLine="0"/>
              <w:jc w:val="left"/>
              <w:rPr>
                <w:rFonts w:ascii="Source Sans Pro" w:hAnsi="Source Sans Pro"/>
              </w:rPr>
            </w:pPr>
            <w:r w:rsidRPr="00CF29BB">
              <w:rPr>
                <w:rFonts w:ascii="Source Sans Pro" w:hAnsi="Source Sans Pro"/>
              </w:rPr>
              <w:t>9,500</w:t>
            </w:r>
          </w:p>
        </w:tc>
        <w:tc>
          <w:tcPr>
            <w:tcW w:w="0" w:type="auto"/>
          </w:tcPr>
          <w:p w14:paraId="0134F280" w14:textId="77777777" w:rsidR="0051517A" w:rsidRPr="00CF29BB" w:rsidRDefault="0051517A" w:rsidP="00FD7B3A">
            <w:pPr>
              <w:ind w:left="0" w:right="0" w:firstLine="0"/>
              <w:jc w:val="left"/>
              <w:rPr>
                <w:rFonts w:ascii="Source Sans Pro" w:hAnsi="Source Sans Pro"/>
              </w:rPr>
            </w:pPr>
            <w:r w:rsidRPr="00CF29BB">
              <w:rPr>
                <w:rFonts w:ascii="Source Sans Pro" w:hAnsi="Source Sans Pro"/>
              </w:rPr>
              <w:t>9,067</w:t>
            </w:r>
          </w:p>
        </w:tc>
      </w:tr>
    </w:tbl>
    <w:p w14:paraId="48B983DF" w14:textId="77777777" w:rsidR="0051517A" w:rsidRPr="00E71163" w:rsidRDefault="0051517A" w:rsidP="0051517A">
      <w:pPr>
        <w:spacing w:before="120" w:after="0"/>
        <w:ind w:left="499" w:right="0"/>
        <w:rPr>
          <w:rFonts w:ascii="Source Sans Pro" w:hAnsi="Source Sans Pro"/>
          <w:sz w:val="18"/>
          <w:szCs w:val="18"/>
        </w:rPr>
      </w:pPr>
      <w:r w:rsidRPr="00CF29BB">
        <w:rPr>
          <w:rFonts w:ascii="Source Sans Pro" w:hAnsi="Source Sans Pro"/>
          <w:sz w:val="18"/>
        </w:rPr>
        <w:t xml:space="preserve">* </w:t>
      </w:r>
      <w:r w:rsidRPr="00E71163">
        <w:rPr>
          <w:rFonts w:ascii="Source Sans Pro" w:hAnsi="Source Sans Pro"/>
          <w:sz w:val="18"/>
          <w:szCs w:val="18"/>
        </w:rPr>
        <w:t xml:space="preserve">Funded Credit FTES, excludes </w:t>
      </w:r>
      <w:r w:rsidR="00830B49" w:rsidRPr="00E71163">
        <w:rPr>
          <w:rFonts w:ascii="Source Sans Pro" w:hAnsi="Source Sans Pro"/>
          <w:sz w:val="18"/>
          <w:szCs w:val="18"/>
        </w:rPr>
        <w:t xml:space="preserve">inmates in correctional facilities </w:t>
      </w:r>
      <w:r w:rsidRPr="00E71163">
        <w:rPr>
          <w:rFonts w:ascii="Source Sans Pro" w:hAnsi="Source Sans Pro"/>
          <w:sz w:val="18"/>
          <w:szCs w:val="18"/>
        </w:rPr>
        <w:t xml:space="preserve">and </w:t>
      </w:r>
      <w:r w:rsidR="00830B49" w:rsidRPr="00E71163">
        <w:rPr>
          <w:rFonts w:ascii="Source Sans Pro" w:hAnsi="Source Sans Pro"/>
          <w:sz w:val="18"/>
          <w:szCs w:val="18"/>
        </w:rPr>
        <w:t>s</w:t>
      </w:r>
      <w:r w:rsidRPr="00E71163">
        <w:rPr>
          <w:rFonts w:ascii="Source Sans Pro" w:hAnsi="Source Sans Pro"/>
          <w:sz w:val="18"/>
          <w:szCs w:val="18"/>
        </w:rPr>
        <w:t xml:space="preserve">pecial </w:t>
      </w:r>
      <w:r w:rsidR="00830B49" w:rsidRPr="00E71163">
        <w:rPr>
          <w:rFonts w:ascii="Source Sans Pro" w:hAnsi="Source Sans Pro"/>
          <w:sz w:val="18"/>
          <w:szCs w:val="18"/>
        </w:rPr>
        <w:t>a</w:t>
      </w:r>
      <w:r w:rsidRPr="00E71163">
        <w:rPr>
          <w:rFonts w:ascii="Source Sans Pro" w:hAnsi="Source Sans Pro"/>
          <w:sz w:val="18"/>
          <w:szCs w:val="18"/>
        </w:rPr>
        <w:t>dmit populations.</w:t>
      </w:r>
    </w:p>
    <w:p w14:paraId="1004E692" w14:textId="77777777" w:rsidR="0051517A" w:rsidRPr="00CF29BB" w:rsidRDefault="0051517A" w:rsidP="0051517A">
      <w:pPr>
        <w:spacing w:after="0"/>
        <w:ind w:left="499" w:right="0"/>
        <w:rPr>
          <w:rFonts w:ascii="Source Sans Pro" w:hAnsi="Source Sans Pro"/>
          <w:sz w:val="18"/>
        </w:rPr>
      </w:pPr>
      <w:r w:rsidRPr="00CF29BB">
        <w:rPr>
          <w:rFonts w:ascii="Source Sans Pro" w:hAnsi="Source Sans Pro"/>
          <w:sz w:val="18"/>
        </w:rPr>
        <w:t>**</w:t>
      </w:r>
      <w:r w:rsidR="00830B49">
        <w:rPr>
          <w:rFonts w:ascii="Source Sans Pro" w:hAnsi="Source Sans Pro"/>
          <w:sz w:val="18"/>
        </w:rPr>
        <w:t>T</w:t>
      </w:r>
      <w:r w:rsidR="00E71163">
        <w:rPr>
          <w:rFonts w:ascii="Source Sans Pro" w:hAnsi="Source Sans Pro"/>
          <w:sz w:val="18"/>
        </w:rPr>
        <w:t>wo</w:t>
      </w:r>
      <w:r w:rsidR="00830B49">
        <w:rPr>
          <w:rFonts w:ascii="Source Sans Pro" w:hAnsi="Source Sans Pro"/>
          <w:sz w:val="18"/>
        </w:rPr>
        <w:t xml:space="preserve"> </w:t>
      </w:r>
      <w:r w:rsidR="000220FE">
        <w:rPr>
          <w:rFonts w:ascii="Source Sans Pro" w:hAnsi="Source Sans Pro"/>
          <w:sz w:val="18"/>
        </w:rPr>
        <w:t>percent</w:t>
      </w:r>
      <w:r w:rsidRPr="00CF29BB">
        <w:rPr>
          <w:rFonts w:ascii="Source Sans Pro" w:hAnsi="Source Sans Pro"/>
          <w:sz w:val="18"/>
        </w:rPr>
        <w:t xml:space="preserve"> </w:t>
      </w:r>
      <w:r w:rsidR="00E71163">
        <w:rPr>
          <w:rFonts w:ascii="Source Sans Pro" w:hAnsi="Source Sans Pro"/>
          <w:sz w:val="18"/>
        </w:rPr>
        <w:t>growth</w:t>
      </w:r>
      <w:r w:rsidRPr="00CF29BB">
        <w:rPr>
          <w:rFonts w:ascii="Source Sans Pro" w:hAnsi="Source Sans Pro"/>
          <w:sz w:val="18"/>
        </w:rPr>
        <w:t xml:space="preserve"> rates</w:t>
      </w:r>
      <w:r w:rsidR="00E71163">
        <w:rPr>
          <w:rFonts w:ascii="Source Sans Pro" w:hAnsi="Source Sans Pro"/>
          <w:sz w:val="18"/>
        </w:rPr>
        <w:t xml:space="preserve"> are used in this example</w:t>
      </w:r>
      <w:r w:rsidR="00731CD5">
        <w:rPr>
          <w:rFonts w:ascii="Source Sans Pro" w:hAnsi="Source Sans Pro"/>
          <w:sz w:val="18"/>
        </w:rPr>
        <w:t>.</w:t>
      </w:r>
      <w:r w:rsidRPr="00CF29BB">
        <w:rPr>
          <w:rFonts w:ascii="Source Sans Pro" w:hAnsi="Source Sans Pro"/>
          <w:sz w:val="18"/>
        </w:rPr>
        <w:t xml:space="preserve"> </w:t>
      </w:r>
    </w:p>
    <w:p w14:paraId="270E1960" w14:textId="77777777" w:rsidR="0051517A" w:rsidRPr="00CF29BB" w:rsidRDefault="0051517A" w:rsidP="0051517A">
      <w:pPr>
        <w:ind w:left="499"/>
        <w:rPr>
          <w:rFonts w:ascii="Source Sans Pro" w:eastAsiaTheme="minorHAnsi" w:hAnsi="Source Sans Pro" w:cs="Times New Roman"/>
          <w:color w:val="auto"/>
          <w:sz w:val="18"/>
          <w:szCs w:val="18"/>
        </w:rPr>
      </w:pPr>
      <w:r w:rsidRPr="00CF29BB">
        <w:rPr>
          <w:rFonts w:ascii="Source Sans Pro" w:hAnsi="Source Sans Pro"/>
          <w:sz w:val="18"/>
          <w:szCs w:val="18"/>
        </w:rPr>
        <w:t xml:space="preserve">***Note: When calculating the following year’s three-year average (e.g. going from the </w:t>
      </w:r>
      <w:r w:rsidR="00187282">
        <w:rPr>
          <w:rFonts w:ascii="Source Sans Pro" w:hAnsi="Source Sans Pro"/>
          <w:sz w:val="18"/>
          <w:szCs w:val="18"/>
        </w:rPr>
        <w:t>20</w:t>
      </w:r>
      <w:r w:rsidRPr="00CF29BB">
        <w:rPr>
          <w:rFonts w:ascii="Source Sans Pro" w:hAnsi="Source Sans Pro"/>
          <w:sz w:val="18"/>
          <w:szCs w:val="18"/>
        </w:rPr>
        <w:t>18</w:t>
      </w:r>
      <w:r w:rsidR="00830B49">
        <w:rPr>
          <w:rFonts w:ascii="Source Sans Pro" w:hAnsi="Source Sans Pro"/>
          <w:sz w:val="18"/>
          <w:szCs w:val="18"/>
        </w:rPr>
        <w:t>-</w:t>
      </w:r>
      <w:r w:rsidRPr="00CF29BB">
        <w:rPr>
          <w:rFonts w:ascii="Source Sans Pro" w:hAnsi="Source Sans Pro"/>
          <w:sz w:val="18"/>
          <w:szCs w:val="18"/>
        </w:rPr>
        <w:t xml:space="preserve">19 to the </w:t>
      </w:r>
      <w:r w:rsidR="00187282">
        <w:rPr>
          <w:rFonts w:ascii="Source Sans Pro" w:hAnsi="Source Sans Pro"/>
          <w:sz w:val="18"/>
          <w:szCs w:val="18"/>
        </w:rPr>
        <w:t>20</w:t>
      </w:r>
      <w:r w:rsidRPr="00CF29BB">
        <w:rPr>
          <w:rFonts w:ascii="Source Sans Pro" w:hAnsi="Source Sans Pro"/>
          <w:sz w:val="18"/>
          <w:szCs w:val="18"/>
        </w:rPr>
        <w:t>19</w:t>
      </w:r>
      <w:r w:rsidR="00830B49">
        <w:rPr>
          <w:rFonts w:ascii="Source Sans Pro" w:hAnsi="Source Sans Pro"/>
          <w:sz w:val="18"/>
          <w:szCs w:val="18"/>
        </w:rPr>
        <w:t>-</w:t>
      </w:r>
      <w:r w:rsidRPr="00CF29BB">
        <w:rPr>
          <w:rFonts w:ascii="Source Sans Pro" w:hAnsi="Source Sans Pro"/>
          <w:sz w:val="18"/>
          <w:szCs w:val="18"/>
        </w:rPr>
        <w:t xml:space="preserve">20 year), the FTES number to carry-over from the </w:t>
      </w:r>
      <w:r w:rsidR="00187282">
        <w:rPr>
          <w:rFonts w:ascii="Source Sans Pro" w:hAnsi="Source Sans Pro"/>
          <w:sz w:val="18"/>
          <w:szCs w:val="18"/>
        </w:rPr>
        <w:t>20</w:t>
      </w:r>
      <w:r w:rsidRPr="00CF29BB">
        <w:rPr>
          <w:rFonts w:ascii="Source Sans Pro" w:hAnsi="Source Sans Pro"/>
          <w:sz w:val="18"/>
          <w:szCs w:val="18"/>
        </w:rPr>
        <w:t>18</w:t>
      </w:r>
      <w:r w:rsidR="00830B49">
        <w:rPr>
          <w:rFonts w:ascii="Source Sans Pro" w:hAnsi="Source Sans Pro"/>
          <w:sz w:val="18"/>
          <w:szCs w:val="18"/>
        </w:rPr>
        <w:t>-</w:t>
      </w:r>
      <w:r w:rsidRPr="00CF29BB">
        <w:rPr>
          <w:rFonts w:ascii="Source Sans Pro" w:hAnsi="Source Sans Pro"/>
          <w:sz w:val="18"/>
          <w:szCs w:val="18"/>
        </w:rPr>
        <w:t xml:space="preserve">19 year to use as the </w:t>
      </w:r>
      <w:r w:rsidR="00187282">
        <w:rPr>
          <w:rFonts w:ascii="Source Sans Pro" w:hAnsi="Source Sans Pro"/>
          <w:sz w:val="18"/>
          <w:szCs w:val="18"/>
        </w:rPr>
        <w:t>20</w:t>
      </w:r>
      <w:r w:rsidRPr="00CF29BB">
        <w:rPr>
          <w:rFonts w:ascii="Source Sans Pro" w:hAnsi="Source Sans Pro"/>
          <w:sz w:val="18"/>
          <w:szCs w:val="18"/>
        </w:rPr>
        <w:t>18</w:t>
      </w:r>
      <w:r w:rsidR="00830B49">
        <w:rPr>
          <w:rFonts w:ascii="Source Sans Pro" w:hAnsi="Source Sans Pro"/>
          <w:sz w:val="18"/>
          <w:szCs w:val="18"/>
        </w:rPr>
        <w:t>-</w:t>
      </w:r>
      <w:r w:rsidRPr="00CF29BB">
        <w:rPr>
          <w:rFonts w:ascii="Source Sans Pro" w:hAnsi="Source Sans Pro"/>
          <w:sz w:val="18"/>
          <w:szCs w:val="18"/>
        </w:rPr>
        <w:t>19 FTES number (the second year in the three</w:t>
      </w:r>
      <w:r w:rsidR="00830B49">
        <w:rPr>
          <w:rFonts w:ascii="Source Sans Pro" w:hAnsi="Source Sans Pro"/>
          <w:sz w:val="18"/>
          <w:szCs w:val="18"/>
        </w:rPr>
        <w:t>-</w:t>
      </w:r>
      <w:r w:rsidRPr="00CF29BB">
        <w:rPr>
          <w:rFonts w:ascii="Source Sans Pro" w:hAnsi="Source Sans Pro"/>
          <w:sz w:val="18"/>
          <w:szCs w:val="18"/>
        </w:rPr>
        <w:t xml:space="preserve">year average for </w:t>
      </w:r>
      <w:r w:rsidR="00F50590">
        <w:rPr>
          <w:rFonts w:ascii="Source Sans Pro" w:hAnsi="Source Sans Pro"/>
          <w:sz w:val="18"/>
          <w:szCs w:val="18"/>
        </w:rPr>
        <w:t>20</w:t>
      </w:r>
      <w:r w:rsidRPr="00CF29BB">
        <w:rPr>
          <w:rFonts w:ascii="Source Sans Pro" w:hAnsi="Source Sans Pro"/>
          <w:sz w:val="18"/>
          <w:szCs w:val="18"/>
        </w:rPr>
        <w:t>19</w:t>
      </w:r>
      <w:r w:rsidR="00830B49">
        <w:rPr>
          <w:rFonts w:ascii="Source Sans Pro" w:hAnsi="Source Sans Pro"/>
          <w:sz w:val="18"/>
          <w:szCs w:val="18"/>
        </w:rPr>
        <w:t>-</w:t>
      </w:r>
      <w:r w:rsidRPr="00CF29BB">
        <w:rPr>
          <w:rFonts w:ascii="Source Sans Pro" w:hAnsi="Source Sans Pro"/>
          <w:sz w:val="18"/>
          <w:szCs w:val="18"/>
        </w:rPr>
        <w:t xml:space="preserve">20) is calculated as follows:  sum the </w:t>
      </w:r>
      <w:r w:rsidR="00187282">
        <w:rPr>
          <w:rFonts w:ascii="Source Sans Pro" w:hAnsi="Source Sans Pro"/>
          <w:sz w:val="18"/>
          <w:szCs w:val="18"/>
        </w:rPr>
        <w:t>20</w:t>
      </w:r>
      <w:r w:rsidRPr="00CF29BB">
        <w:rPr>
          <w:rFonts w:ascii="Source Sans Pro" w:hAnsi="Source Sans Pro"/>
          <w:sz w:val="18"/>
          <w:szCs w:val="18"/>
        </w:rPr>
        <w:t>18</w:t>
      </w:r>
      <w:r w:rsidR="00830B49">
        <w:rPr>
          <w:rFonts w:ascii="Source Sans Pro" w:hAnsi="Source Sans Pro"/>
          <w:sz w:val="18"/>
          <w:szCs w:val="18"/>
        </w:rPr>
        <w:t>-</w:t>
      </w:r>
      <w:r w:rsidRPr="00CF29BB">
        <w:rPr>
          <w:rFonts w:ascii="Source Sans Pro" w:hAnsi="Source Sans Pro"/>
          <w:sz w:val="18"/>
          <w:szCs w:val="18"/>
        </w:rPr>
        <w:t>19 FTES number used in calculating the three</w:t>
      </w:r>
      <w:r w:rsidR="00830B49">
        <w:rPr>
          <w:rFonts w:ascii="Source Sans Pro" w:hAnsi="Source Sans Pro"/>
          <w:sz w:val="18"/>
          <w:szCs w:val="18"/>
        </w:rPr>
        <w:t>-</w:t>
      </w:r>
      <w:r w:rsidRPr="00CF29BB">
        <w:rPr>
          <w:rFonts w:ascii="Source Sans Pro" w:hAnsi="Source Sans Pro"/>
          <w:sz w:val="18"/>
          <w:szCs w:val="18"/>
        </w:rPr>
        <w:t xml:space="preserve">year average and the achieved growth from </w:t>
      </w:r>
      <w:r w:rsidR="00187282">
        <w:rPr>
          <w:rFonts w:ascii="Source Sans Pro" w:hAnsi="Source Sans Pro"/>
          <w:sz w:val="18"/>
          <w:szCs w:val="18"/>
        </w:rPr>
        <w:t>20</w:t>
      </w:r>
      <w:r w:rsidRPr="00CF29BB">
        <w:rPr>
          <w:rFonts w:ascii="Source Sans Pro" w:hAnsi="Source Sans Pro"/>
          <w:sz w:val="18"/>
          <w:szCs w:val="18"/>
        </w:rPr>
        <w:t>18</w:t>
      </w:r>
      <w:r w:rsidR="00830B49">
        <w:rPr>
          <w:rFonts w:ascii="Source Sans Pro" w:hAnsi="Source Sans Pro"/>
          <w:sz w:val="18"/>
          <w:szCs w:val="18"/>
        </w:rPr>
        <w:t>-</w:t>
      </w:r>
      <w:r w:rsidRPr="00CF29BB">
        <w:rPr>
          <w:rFonts w:ascii="Source Sans Pro" w:hAnsi="Source Sans Pro"/>
          <w:sz w:val="18"/>
          <w:szCs w:val="18"/>
        </w:rPr>
        <w:t xml:space="preserve">19.  </w:t>
      </w:r>
    </w:p>
    <w:p w14:paraId="62F04367" w14:textId="77777777" w:rsidR="005527DA" w:rsidRPr="00CF29BB" w:rsidRDefault="005527DA" w:rsidP="005527DA">
      <w:pPr>
        <w:spacing w:after="120"/>
        <w:ind w:left="499" w:right="0"/>
        <w:rPr>
          <w:rFonts w:ascii="Source Sans Pro" w:hAnsi="Source Sans Pro"/>
        </w:rPr>
      </w:pPr>
      <w:r w:rsidRPr="00CF29BB">
        <w:rPr>
          <w:rFonts w:ascii="Source Sans Pro" w:hAnsi="Source Sans Pro"/>
        </w:rPr>
        <w:t xml:space="preserve">The </w:t>
      </w:r>
      <w:r w:rsidR="00EE0B29">
        <w:rPr>
          <w:rFonts w:ascii="Source Sans Pro" w:hAnsi="Source Sans Pro"/>
        </w:rPr>
        <w:t>Three-year</w:t>
      </w:r>
      <w:r w:rsidRPr="00CF29BB">
        <w:rPr>
          <w:rFonts w:ascii="Source Sans Pro" w:hAnsi="Source Sans Pro"/>
        </w:rPr>
        <w:t xml:space="preserve"> rolling average of Base Credit FTES of District B is: </w:t>
      </w:r>
    </w:p>
    <w:p w14:paraId="3656A3DB" w14:textId="77777777" w:rsidR="005527DA" w:rsidRPr="00CF29BB" w:rsidRDefault="005527DA" w:rsidP="005527DA">
      <w:pPr>
        <w:spacing w:after="120"/>
        <w:ind w:left="499" w:right="0"/>
        <w:jc w:val="center"/>
        <w:rPr>
          <w:rFonts w:ascii="Source Sans Pro" w:hAnsi="Source Sans Pro"/>
        </w:rPr>
      </w:pPr>
      <w:r w:rsidRPr="00CF29BB">
        <w:rPr>
          <w:rFonts w:ascii="Source Sans Pro" w:hAnsi="Source Sans Pro"/>
        </w:rPr>
        <w:t>(</w:t>
      </w:r>
      <w:r w:rsidR="00187282">
        <w:rPr>
          <w:rFonts w:ascii="Source Sans Pro" w:hAnsi="Source Sans Pro"/>
        </w:rPr>
        <w:t>20</w:t>
      </w:r>
      <w:r w:rsidRPr="00CF29BB">
        <w:rPr>
          <w:rFonts w:ascii="Source Sans Pro" w:hAnsi="Source Sans Pro"/>
        </w:rPr>
        <w:t>16</w:t>
      </w:r>
      <w:r w:rsidR="00830B49">
        <w:rPr>
          <w:rFonts w:ascii="Source Sans Pro" w:hAnsi="Source Sans Pro"/>
        </w:rPr>
        <w:t>-</w:t>
      </w:r>
      <w:r w:rsidRPr="00CF29BB">
        <w:rPr>
          <w:rFonts w:ascii="Source Sans Pro" w:hAnsi="Source Sans Pro"/>
        </w:rPr>
        <w:t xml:space="preserve">17 FTES* + </w:t>
      </w:r>
      <w:r w:rsidR="00187282">
        <w:rPr>
          <w:rFonts w:ascii="Source Sans Pro" w:hAnsi="Source Sans Pro"/>
        </w:rPr>
        <w:t>20</w:t>
      </w:r>
      <w:r w:rsidRPr="00CF29BB">
        <w:rPr>
          <w:rFonts w:ascii="Source Sans Pro" w:hAnsi="Source Sans Pro"/>
        </w:rPr>
        <w:t>17</w:t>
      </w:r>
      <w:r w:rsidR="00830B49">
        <w:rPr>
          <w:rFonts w:ascii="Source Sans Pro" w:hAnsi="Source Sans Pro"/>
        </w:rPr>
        <w:t>-</w:t>
      </w:r>
      <w:r w:rsidRPr="00CF29BB">
        <w:rPr>
          <w:rFonts w:ascii="Source Sans Pro" w:hAnsi="Source Sans Pro"/>
        </w:rPr>
        <w:t xml:space="preserve">18 FTES* + </w:t>
      </w:r>
      <w:r w:rsidR="00187282">
        <w:rPr>
          <w:rFonts w:ascii="Source Sans Pro" w:hAnsi="Source Sans Pro"/>
        </w:rPr>
        <w:t>20</w:t>
      </w:r>
      <w:r w:rsidRPr="00CF29BB">
        <w:rPr>
          <w:rFonts w:ascii="Source Sans Pro" w:hAnsi="Source Sans Pro"/>
        </w:rPr>
        <w:t>18</w:t>
      </w:r>
      <w:r w:rsidR="00830B49">
        <w:rPr>
          <w:rFonts w:ascii="Source Sans Pro" w:hAnsi="Source Sans Pro"/>
        </w:rPr>
        <w:t>-</w:t>
      </w:r>
      <w:r w:rsidRPr="00CF29BB">
        <w:rPr>
          <w:rFonts w:ascii="Source Sans Pro" w:hAnsi="Source Sans Pro"/>
        </w:rPr>
        <w:t>19 FTES*) / 3, or</w:t>
      </w:r>
    </w:p>
    <w:p w14:paraId="34D8CF71" w14:textId="77777777" w:rsidR="005527DA" w:rsidRPr="00CF29BB" w:rsidRDefault="005527DA" w:rsidP="005527DA">
      <w:pPr>
        <w:ind w:left="499" w:right="0"/>
        <w:jc w:val="center"/>
        <w:rPr>
          <w:rFonts w:ascii="Source Sans Pro" w:hAnsi="Source Sans Pro"/>
          <w:b/>
        </w:rPr>
      </w:pPr>
      <w:r w:rsidRPr="00CF29BB">
        <w:rPr>
          <w:rFonts w:ascii="Source Sans Pro" w:hAnsi="Source Sans Pro"/>
        </w:rPr>
        <w:t xml:space="preserve">(9,500 + 10,000 + 9,500) / 3 = </w:t>
      </w:r>
      <w:r w:rsidRPr="00CF29BB">
        <w:rPr>
          <w:rFonts w:ascii="Source Sans Pro" w:hAnsi="Source Sans Pro"/>
          <w:b/>
        </w:rPr>
        <w:t>9,667 FTES</w:t>
      </w:r>
    </w:p>
    <w:p w14:paraId="7C9AF571" w14:textId="77777777" w:rsidR="005527DA" w:rsidRPr="00CF29BB" w:rsidRDefault="005527DA" w:rsidP="005527DA">
      <w:pPr>
        <w:ind w:left="499" w:right="0"/>
        <w:jc w:val="left"/>
        <w:rPr>
          <w:rFonts w:ascii="Source Sans Pro" w:hAnsi="Source Sans Pro"/>
        </w:rPr>
      </w:pPr>
      <w:r w:rsidRPr="00CF29BB">
        <w:rPr>
          <w:rFonts w:ascii="Source Sans Pro" w:hAnsi="Source Sans Pro"/>
        </w:rPr>
        <w:t xml:space="preserve">The </w:t>
      </w:r>
      <w:r w:rsidR="00EE0B29">
        <w:rPr>
          <w:rFonts w:ascii="Source Sans Pro" w:hAnsi="Source Sans Pro"/>
        </w:rPr>
        <w:t>Three-year</w:t>
      </w:r>
      <w:r w:rsidRPr="00CF29BB">
        <w:rPr>
          <w:rFonts w:ascii="Source Sans Pro" w:hAnsi="Source Sans Pro"/>
        </w:rPr>
        <w:t xml:space="preserve"> Base Credit FTES used for funding District A is:</w:t>
      </w:r>
    </w:p>
    <w:p w14:paraId="5FC6F69F" w14:textId="77777777" w:rsidR="005527DA" w:rsidRPr="00CF29BB" w:rsidRDefault="005527DA" w:rsidP="005527DA">
      <w:pPr>
        <w:ind w:left="499" w:right="0"/>
        <w:jc w:val="center"/>
        <w:rPr>
          <w:rFonts w:ascii="Source Sans Pro" w:hAnsi="Source Sans Pro"/>
        </w:rPr>
      </w:pPr>
      <w:r w:rsidRPr="00CF29BB">
        <w:rPr>
          <w:rFonts w:ascii="Source Sans Pro" w:hAnsi="Source Sans Pro"/>
        </w:rPr>
        <w:t xml:space="preserve">(Base </w:t>
      </w:r>
      <w:r w:rsidR="00830B49">
        <w:rPr>
          <w:rFonts w:ascii="Source Sans Pro" w:hAnsi="Source Sans Pro"/>
        </w:rPr>
        <w:t>Three</w:t>
      </w:r>
      <w:r w:rsidRPr="00CF29BB">
        <w:rPr>
          <w:rFonts w:ascii="Source Sans Pro" w:hAnsi="Source Sans Pro"/>
        </w:rPr>
        <w:t>-Year Average + Growth FTES), or</w:t>
      </w:r>
    </w:p>
    <w:p w14:paraId="6EF0144A" w14:textId="77777777" w:rsidR="005527DA" w:rsidRPr="00CF29BB" w:rsidRDefault="005527DA" w:rsidP="00AD671C">
      <w:pPr>
        <w:ind w:left="499"/>
        <w:jc w:val="center"/>
        <w:rPr>
          <w:rFonts w:ascii="Source Sans Pro" w:hAnsi="Source Sans Pro"/>
          <w:b/>
        </w:rPr>
      </w:pPr>
      <w:r w:rsidRPr="00CF29BB">
        <w:rPr>
          <w:rFonts w:ascii="Source Sans Pro" w:hAnsi="Source Sans Pro"/>
        </w:rPr>
        <w:t xml:space="preserve">9,667 + 0 = </w:t>
      </w:r>
      <w:r w:rsidRPr="00CF29BB">
        <w:rPr>
          <w:rFonts w:ascii="Source Sans Pro" w:hAnsi="Source Sans Pro"/>
          <w:b/>
        </w:rPr>
        <w:t>9,667 FTES</w:t>
      </w:r>
    </w:p>
    <w:p w14:paraId="0B47559E" w14:textId="77777777" w:rsidR="003C006C" w:rsidRPr="003C006C" w:rsidRDefault="003C006C" w:rsidP="003C006C">
      <w:pPr>
        <w:pStyle w:val="Heading2"/>
        <w:numPr>
          <w:ilvl w:val="0"/>
          <w:numId w:val="0"/>
        </w:numPr>
        <w:ind w:left="432"/>
      </w:pPr>
      <w:bookmarkStart w:id="13" w:name="_Toc518053122"/>
    </w:p>
    <w:p w14:paraId="4AAC5641" w14:textId="77777777" w:rsidR="007A61BE" w:rsidRPr="00CF29BB" w:rsidRDefault="007A61BE" w:rsidP="007A61BE">
      <w:pPr>
        <w:pStyle w:val="Heading2"/>
      </w:pPr>
      <w:r w:rsidRPr="00CF29BB">
        <w:rPr>
          <w:rFonts w:eastAsia="Calibri"/>
        </w:rPr>
        <w:t xml:space="preserve">In this calculation, did you include </w:t>
      </w:r>
      <w:r w:rsidR="00187282">
        <w:rPr>
          <w:rFonts w:eastAsia="Calibri"/>
        </w:rPr>
        <w:t>s</w:t>
      </w:r>
      <w:r w:rsidR="00187282" w:rsidRPr="00CF29BB">
        <w:rPr>
          <w:rFonts w:eastAsia="Calibri"/>
        </w:rPr>
        <w:t xml:space="preserve">tability </w:t>
      </w:r>
      <w:r w:rsidRPr="00CF29BB">
        <w:rPr>
          <w:rFonts w:eastAsia="Calibri"/>
        </w:rPr>
        <w:t xml:space="preserve">and </w:t>
      </w:r>
      <w:r w:rsidR="00187282">
        <w:rPr>
          <w:rFonts w:eastAsia="Calibri"/>
        </w:rPr>
        <w:t>r</w:t>
      </w:r>
      <w:r w:rsidR="00187282" w:rsidRPr="00CF29BB">
        <w:rPr>
          <w:rFonts w:eastAsia="Calibri"/>
        </w:rPr>
        <w:t xml:space="preserve">estoration </w:t>
      </w:r>
      <w:r w:rsidRPr="00CF29BB">
        <w:rPr>
          <w:rFonts w:eastAsia="Calibri"/>
        </w:rPr>
        <w:t>FTES?</w:t>
      </w:r>
      <w:bookmarkEnd w:id="13"/>
      <w:r w:rsidRPr="00CF29BB">
        <w:rPr>
          <w:rFonts w:eastAsia="Calibri"/>
        </w:rPr>
        <w:t xml:space="preserve"> </w:t>
      </w:r>
    </w:p>
    <w:p w14:paraId="5075DCDF" w14:textId="77777777" w:rsidR="00F80569" w:rsidRPr="00CF29BB" w:rsidRDefault="00F80569" w:rsidP="00F80569">
      <w:pPr>
        <w:ind w:left="499"/>
        <w:rPr>
          <w:rFonts w:ascii="Source Sans Pro" w:eastAsiaTheme="minorHAnsi" w:hAnsi="Source Sans Pro"/>
          <w:color w:val="auto"/>
        </w:rPr>
      </w:pPr>
      <w:r w:rsidRPr="00CF29BB">
        <w:rPr>
          <w:rFonts w:ascii="Source Sans Pro" w:hAnsi="Source Sans Pro"/>
        </w:rPr>
        <w:t xml:space="preserve">Under the new funding formula, </w:t>
      </w:r>
      <w:r w:rsidR="0002588D">
        <w:rPr>
          <w:rFonts w:ascii="Source Sans Pro" w:hAnsi="Source Sans Pro"/>
        </w:rPr>
        <w:t>S</w:t>
      </w:r>
      <w:r w:rsidRPr="00CF29BB">
        <w:rPr>
          <w:rFonts w:ascii="Source Sans Pro" w:hAnsi="Source Sans Pro"/>
        </w:rPr>
        <w:t xml:space="preserve">tability </w:t>
      </w:r>
      <w:r w:rsidR="0002588D">
        <w:rPr>
          <w:rFonts w:ascii="Source Sans Pro" w:hAnsi="Source Sans Pro"/>
        </w:rPr>
        <w:t>C</w:t>
      </w:r>
      <w:r w:rsidRPr="00CF29BB">
        <w:rPr>
          <w:rFonts w:ascii="Source Sans Pro" w:hAnsi="Source Sans Pro"/>
        </w:rPr>
        <w:t xml:space="preserve">redit FTES is no longer </w:t>
      </w:r>
      <w:r w:rsidR="00187282">
        <w:rPr>
          <w:rFonts w:ascii="Source Sans Pro" w:hAnsi="Source Sans Pro"/>
        </w:rPr>
        <w:t>calculated</w:t>
      </w:r>
      <w:r w:rsidRPr="00CF29BB">
        <w:rPr>
          <w:rFonts w:ascii="Source Sans Pro" w:hAnsi="Source Sans Pro"/>
        </w:rPr>
        <w:t xml:space="preserve">. Stability is </w:t>
      </w:r>
      <w:r w:rsidR="00187282">
        <w:rPr>
          <w:rFonts w:ascii="Source Sans Pro" w:hAnsi="Source Sans Pro"/>
        </w:rPr>
        <w:t>calculated</w:t>
      </w:r>
      <w:r w:rsidR="00187282" w:rsidRPr="00CF29BB">
        <w:rPr>
          <w:rFonts w:ascii="Source Sans Pro" w:hAnsi="Source Sans Pro"/>
        </w:rPr>
        <w:t xml:space="preserve"> </w:t>
      </w:r>
      <w:r w:rsidRPr="00CF29BB">
        <w:rPr>
          <w:rFonts w:ascii="Source Sans Pro" w:hAnsi="Source Sans Pro"/>
        </w:rPr>
        <w:t xml:space="preserve">for </w:t>
      </w:r>
      <w:r w:rsidR="00B07245">
        <w:rPr>
          <w:rFonts w:ascii="Source Sans Pro" w:hAnsi="Source Sans Pro"/>
        </w:rPr>
        <w:t>noncredit</w:t>
      </w:r>
      <w:r w:rsidRPr="00CF29BB">
        <w:rPr>
          <w:rFonts w:ascii="Source Sans Pro" w:hAnsi="Source Sans Pro"/>
        </w:rPr>
        <w:t xml:space="preserve"> and CDCP FTES. On restoration, the funding formula retains the use of the three-year restoration mechanism when calculating FTES workload.  </w:t>
      </w:r>
    </w:p>
    <w:p w14:paraId="54A72802" w14:textId="77777777" w:rsidR="007A61BE" w:rsidRPr="00CF29BB" w:rsidRDefault="007A61BE" w:rsidP="007A61BE">
      <w:pPr>
        <w:pStyle w:val="Heading2"/>
      </w:pPr>
      <w:bookmarkStart w:id="14" w:name="_Toc518053123"/>
      <w:r w:rsidRPr="00CF29BB">
        <w:rPr>
          <w:rFonts w:eastAsia="Calibri"/>
        </w:rPr>
        <w:lastRenderedPageBreak/>
        <w:t xml:space="preserve">How is </w:t>
      </w:r>
      <w:r w:rsidR="00187282">
        <w:rPr>
          <w:rFonts w:eastAsia="Calibri"/>
        </w:rPr>
        <w:t>p</w:t>
      </w:r>
      <w:r w:rsidRPr="00CF29BB">
        <w:rPr>
          <w:rFonts w:eastAsia="Calibri"/>
        </w:rPr>
        <w:t xml:space="preserve">rojected </w:t>
      </w:r>
      <w:r w:rsidR="00187282">
        <w:rPr>
          <w:rFonts w:eastAsia="Calibri"/>
        </w:rPr>
        <w:t>g</w:t>
      </w:r>
      <w:r w:rsidRPr="00CF29BB">
        <w:rPr>
          <w:rFonts w:eastAsia="Calibri"/>
        </w:rPr>
        <w:t>rowth calculated?</w:t>
      </w:r>
      <w:bookmarkEnd w:id="14"/>
      <w:r w:rsidRPr="00CF29BB">
        <w:rPr>
          <w:rFonts w:eastAsia="Calibri"/>
        </w:rPr>
        <w:t xml:space="preserve"> </w:t>
      </w:r>
    </w:p>
    <w:p w14:paraId="2BB6BC21" w14:textId="77777777" w:rsidR="00803009" w:rsidRPr="00CF29BB" w:rsidRDefault="00803009" w:rsidP="00803009">
      <w:pPr>
        <w:ind w:left="499"/>
        <w:rPr>
          <w:rFonts w:ascii="Source Sans Pro" w:eastAsiaTheme="minorHAnsi" w:hAnsi="Source Sans Pro"/>
          <w:color w:val="auto"/>
        </w:rPr>
      </w:pPr>
      <w:r w:rsidRPr="00CF29BB">
        <w:rPr>
          <w:rFonts w:ascii="Source Sans Pro" w:hAnsi="Source Sans Pro"/>
        </w:rPr>
        <w:t>FTES growth rates for each district</w:t>
      </w:r>
      <w:r w:rsidR="00F35274">
        <w:rPr>
          <w:rFonts w:ascii="Source Sans Pro" w:hAnsi="Source Sans Pro"/>
        </w:rPr>
        <w:t xml:space="preserve"> is</w:t>
      </w:r>
      <w:r w:rsidRPr="00CF29BB">
        <w:rPr>
          <w:rFonts w:ascii="Source Sans Pro" w:hAnsi="Source Sans Pro"/>
        </w:rPr>
        <w:t xml:space="preserve"> provided by the Chancellor’s Office. For </w:t>
      </w:r>
      <w:r w:rsidR="0002588D">
        <w:rPr>
          <w:rFonts w:ascii="Source Sans Pro" w:hAnsi="Source Sans Pro"/>
        </w:rPr>
        <w:t>C</w:t>
      </w:r>
      <w:r w:rsidR="00187282" w:rsidRPr="00CF29BB">
        <w:rPr>
          <w:rFonts w:ascii="Source Sans Pro" w:hAnsi="Source Sans Pro"/>
        </w:rPr>
        <w:t xml:space="preserve">redit </w:t>
      </w:r>
      <w:r w:rsidRPr="00CF29BB">
        <w:rPr>
          <w:rFonts w:ascii="Source Sans Pro" w:hAnsi="Source Sans Pro"/>
        </w:rPr>
        <w:t xml:space="preserve">FTES, these rates are applied to each district’s </w:t>
      </w:r>
      <w:r w:rsidR="004902FA">
        <w:rPr>
          <w:rFonts w:ascii="Source Sans Pro" w:hAnsi="Source Sans Pro"/>
        </w:rPr>
        <w:t>three-year average</w:t>
      </w:r>
      <w:r w:rsidRPr="00CF29BB">
        <w:rPr>
          <w:rFonts w:ascii="Source Sans Pro" w:hAnsi="Source Sans Pro"/>
        </w:rPr>
        <w:t xml:space="preserve"> FTES to find projected growth FTES. For </w:t>
      </w:r>
      <w:r w:rsidR="00187282">
        <w:rPr>
          <w:rFonts w:ascii="Source Sans Pro" w:hAnsi="Source Sans Pro"/>
        </w:rPr>
        <w:t>noncredit</w:t>
      </w:r>
      <w:r w:rsidRPr="00CF29BB">
        <w:rPr>
          <w:rFonts w:ascii="Source Sans Pro" w:hAnsi="Source Sans Pro"/>
        </w:rPr>
        <w:t xml:space="preserve">, CDCP FTES, </w:t>
      </w:r>
      <w:r w:rsidR="00830B49">
        <w:rPr>
          <w:rFonts w:ascii="Source Sans Pro" w:hAnsi="Source Sans Pro"/>
        </w:rPr>
        <w:t>s</w:t>
      </w:r>
      <w:r w:rsidRPr="00CF29BB">
        <w:rPr>
          <w:rFonts w:ascii="Source Sans Pro" w:hAnsi="Source Sans Pro"/>
        </w:rPr>
        <w:t xml:space="preserve">pecial </w:t>
      </w:r>
      <w:r w:rsidR="00830B49">
        <w:rPr>
          <w:rFonts w:ascii="Source Sans Pro" w:hAnsi="Source Sans Pro"/>
        </w:rPr>
        <w:t>a</w:t>
      </w:r>
      <w:r w:rsidRPr="00CF29BB">
        <w:rPr>
          <w:rFonts w:ascii="Source Sans Pro" w:hAnsi="Source Sans Pro"/>
        </w:rPr>
        <w:t>dmit</w:t>
      </w:r>
      <w:r w:rsidR="00187282">
        <w:rPr>
          <w:rFonts w:ascii="Source Sans Pro" w:hAnsi="Source Sans Pro"/>
        </w:rPr>
        <w:t xml:space="preserve"> FTES,</w:t>
      </w:r>
      <w:r w:rsidRPr="00CF29BB">
        <w:rPr>
          <w:rFonts w:ascii="Source Sans Pro" w:hAnsi="Source Sans Pro"/>
        </w:rPr>
        <w:t xml:space="preserve"> and</w:t>
      </w:r>
      <w:r w:rsidR="00830B49" w:rsidRPr="00830B49">
        <w:rPr>
          <w:rFonts w:ascii="Source Sans Pro" w:hAnsi="Source Sans Pro"/>
        </w:rPr>
        <w:t xml:space="preserve"> </w:t>
      </w:r>
      <w:r w:rsidR="00830B49">
        <w:rPr>
          <w:rFonts w:ascii="Source Sans Pro" w:hAnsi="Source Sans Pro"/>
        </w:rPr>
        <w:t>inmates in correctional facilities</w:t>
      </w:r>
      <w:r w:rsidRPr="00CF29BB">
        <w:rPr>
          <w:rFonts w:ascii="Source Sans Pro" w:hAnsi="Source Sans Pro"/>
        </w:rPr>
        <w:t xml:space="preserve"> FTES, growth rates are applied to the most recent year’s FTES. </w:t>
      </w:r>
    </w:p>
    <w:p w14:paraId="1C5C0AF1" w14:textId="77777777" w:rsidR="007A61BE" w:rsidRPr="00CF29BB" w:rsidRDefault="007A61BE" w:rsidP="007A61BE">
      <w:pPr>
        <w:pStyle w:val="Heading2"/>
      </w:pPr>
      <w:bookmarkStart w:id="15" w:name="_Toc518053124"/>
      <w:r w:rsidRPr="00CF29BB">
        <w:rPr>
          <w:rFonts w:eastAsia="Calibri"/>
        </w:rPr>
        <w:t xml:space="preserve">Why does the system use a </w:t>
      </w:r>
      <w:r w:rsidR="004902FA">
        <w:rPr>
          <w:rFonts w:eastAsia="Calibri"/>
        </w:rPr>
        <w:t>three-year average</w:t>
      </w:r>
      <w:r w:rsidRPr="00CF29BB">
        <w:rPr>
          <w:rFonts w:eastAsia="Calibri"/>
        </w:rPr>
        <w:t xml:space="preserve"> for </w:t>
      </w:r>
      <w:r w:rsidR="00187282">
        <w:rPr>
          <w:rFonts w:eastAsia="Calibri"/>
        </w:rPr>
        <w:t>b</w:t>
      </w:r>
      <w:r w:rsidR="00187282" w:rsidRPr="00CF29BB">
        <w:rPr>
          <w:rFonts w:eastAsia="Calibri"/>
        </w:rPr>
        <w:t xml:space="preserve">ase </w:t>
      </w:r>
      <w:r w:rsidR="00187282">
        <w:rPr>
          <w:rFonts w:eastAsia="Calibri"/>
        </w:rPr>
        <w:t>c</w:t>
      </w:r>
      <w:r w:rsidR="00187282" w:rsidRPr="00CF29BB">
        <w:rPr>
          <w:rFonts w:eastAsia="Calibri"/>
        </w:rPr>
        <w:t xml:space="preserve">redit </w:t>
      </w:r>
      <w:r w:rsidRPr="00CF29BB">
        <w:rPr>
          <w:rFonts w:eastAsia="Calibri"/>
        </w:rPr>
        <w:t>FTES?</w:t>
      </w:r>
      <w:bookmarkEnd w:id="15"/>
      <w:r w:rsidRPr="00CF29BB">
        <w:rPr>
          <w:rFonts w:eastAsia="Calibri"/>
        </w:rPr>
        <w:t xml:space="preserve"> </w:t>
      </w:r>
    </w:p>
    <w:p w14:paraId="121C87EF" w14:textId="77777777" w:rsidR="007A61BE" w:rsidRPr="00CF29BB" w:rsidRDefault="007A61BE" w:rsidP="007A61BE">
      <w:pPr>
        <w:ind w:left="499" w:right="0"/>
        <w:rPr>
          <w:rFonts w:ascii="Source Sans Pro" w:hAnsi="Source Sans Pro"/>
        </w:rPr>
      </w:pPr>
      <w:r w:rsidRPr="00CF29BB">
        <w:rPr>
          <w:rFonts w:ascii="Source Sans Pro" w:hAnsi="Source Sans Pro"/>
        </w:rPr>
        <w:t xml:space="preserve">The three-year average FTES is used instead of the most recent year’s Credit FTES to </w:t>
      </w:r>
      <w:r w:rsidR="00187282">
        <w:rPr>
          <w:rFonts w:ascii="Source Sans Pro" w:hAnsi="Source Sans Pro"/>
        </w:rPr>
        <w:t>moderate impacts of</w:t>
      </w:r>
      <w:r w:rsidRPr="00CF29BB">
        <w:rPr>
          <w:rFonts w:ascii="Source Sans Pro" w:hAnsi="Source Sans Pro"/>
        </w:rPr>
        <w:t xml:space="preserve"> large enrollment swings and unexpected economic downturns. It is also used to increase district stability and predictability in planning, program implementation, and budgeting. </w:t>
      </w:r>
    </w:p>
    <w:p w14:paraId="6B97A121" w14:textId="77777777" w:rsidR="007A61BE" w:rsidRPr="00CF29BB" w:rsidRDefault="007A61BE" w:rsidP="007A61BE">
      <w:pPr>
        <w:pStyle w:val="Heading2"/>
      </w:pPr>
      <w:bookmarkStart w:id="16" w:name="_Toc518053125"/>
      <w:r w:rsidRPr="00CF29BB">
        <w:rPr>
          <w:rFonts w:eastAsia="Calibri"/>
        </w:rPr>
        <w:t>What is the data source for the Base Allocation?</w:t>
      </w:r>
      <w:bookmarkEnd w:id="16"/>
      <w:r w:rsidRPr="00CF29BB">
        <w:rPr>
          <w:rFonts w:eastAsia="Calibri"/>
        </w:rPr>
        <w:t xml:space="preserve"> </w:t>
      </w:r>
    </w:p>
    <w:p w14:paraId="330D6FDE" w14:textId="77777777" w:rsidR="007A61BE" w:rsidRPr="00CF29BB" w:rsidRDefault="007A61BE" w:rsidP="007A61BE">
      <w:pPr>
        <w:ind w:left="499" w:right="0"/>
        <w:rPr>
          <w:rFonts w:ascii="Source Sans Pro" w:hAnsi="Source Sans Pro"/>
        </w:rPr>
      </w:pPr>
      <w:r w:rsidRPr="00CF29BB">
        <w:rPr>
          <w:rFonts w:ascii="Source Sans Pro" w:hAnsi="Source Sans Pro"/>
        </w:rPr>
        <w:t>The source</w:t>
      </w:r>
      <w:r w:rsidR="0002588D">
        <w:rPr>
          <w:rFonts w:ascii="Source Sans Pro" w:hAnsi="Source Sans Pro"/>
        </w:rPr>
        <w:t>s</w:t>
      </w:r>
      <w:r w:rsidRPr="00CF29BB">
        <w:rPr>
          <w:rFonts w:ascii="Source Sans Pro" w:hAnsi="Source Sans Pro"/>
        </w:rPr>
        <w:t xml:space="preserve"> for all FTES data </w:t>
      </w:r>
      <w:r w:rsidR="0002588D">
        <w:rPr>
          <w:rFonts w:ascii="Source Sans Pro" w:hAnsi="Source Sans Pro"/>
        </w:rPr>
        <w:t>are</w:t>
      </w:r>
      <w:r w:rsidRPr="00CF29BB">
        <w:rPr>
          <w:rFonts w:ascii="Source Sans Pro" w:hAnsi="Source Sans Pro"/>
        </w:rPr>
        <w:t xml:space="preserve"> the Chancellor’s Office 320 Attendance Reports.</w:t>
      </w:r>
    </w:p>
    <w:p w14:paraId="25895B50" w14:textId="77777777" w:rsidR="007A61BE" w:rsidRPr="00CF29BB" w:rsidRDefault="007A61BE" w:rsidP="007A61BE">
      <w:pPr>
        <w:pStyle w:val="Heading2"/>
      </w:pPr>
      <w:bookmarkStart w:id="17" w:name="_Toc518053126"/>
      <w:r w:rsidRPr="00CF29BB">
        <w:rPr>
          <w:rFonts w:eastAsia="Calibri"/>
        </w:rPr>
        <w:t>Are all types of students’ FTES funded at the same rate?</w:t>
      </w:r>
      <w:bookmarkEnd w:id="17"/>
      <w:r w:rsidRPr="00CF29BB">
        <w:rPr>
          <w:rFonts w:eastAsia="Calibri"/>
        </w:rPr>
        <w:t xml:space="preserve"> </w:t>
      </w:r>
    </w:p>
    <w:p w14:paraId="2180C05D" w14:textId="77777777" w:rsidR="007A61BE" w:rsidRPr="00CF29BB" w:rsidRDefault="007A61BE" w:rsidP="007A61BE">
      <w:pPr>
        <w:ind w:left="499" w:right="0"/>
        <w:rPr>
          <w:rFonts w:ascii="Source Sans Pro" w:hAnsi="Source Sans Pro"/>
        </w:rPr>
      </w:pPr>
      <w:r w:rsidRPr="00CF29BB">
        <w:rPr>
          <w:rFonts w:ascii="Source Sans Pro" w:hAnsi="Source Sans Pro"/>
        </w:rPr>
        <w:t xml:space="preserve">No, all students are not funded at the same rates. For </w:t>
      </w:r>
      <w:r w:rsidR="000220FE">
        <w:rPr>
          <w:rFonts w:ascii="Source Sans Pro" w:hAnsi="Source Sans Pro"/>
        </w:rPr>
        <w:t>2018-19</w:t>
      </w:r>
      <w:r w:rsidRPr="00CF29BB">
        <w:rPr>
          <w:rFonts w:ascii="Source Sans Pro" w:hAnsi="Source Sans Pro"/>
        </w:rPr>
        <w:t xml:space="preserve">, CDCP Students, </w:t>
      </w:r>
      <w:r w:rsidR="00B07245">
        <w:rPr>
          <w:rFonts w:ascii="Source Sans Pro" w:hAnsi="Source Sans Pro"/>
        </w:rPr>
        <w:t>s</w:t>
      </w:r>
      <w:r w:rsidRPr="00CF29BB">
        <w:rPr>
          <w:rFonts w:ascii="Source Sans Pro" w:hAnsi="Source Sans Pro"/>
        </w:rPr>
        <w:t xml:space="preserve">pecial </w:t>
      </w:r>
      <w:r w:rsidR="00B07245">
        <w:rPr>
          <w:rFonts w:ascii="Source Sans Pro" w:hAnsi="Source Sans Pro"/>
        </w:rPr>
        <w:t>a</w:t>
      </w:r>
      <w:r w:rsidRPr="00CF29BB">
        <w:rPr>
          <w:rFonts w:ascii="Source Sans Pro" w:hAnsi="Source Sans Pro"/>
        </w:rPr>
        <w:t xml:space="preserve">dmit </w:t>
      </w:r>
      <w:r w:rsidR="00B07245">
        <w:rPr>
          <w:rFonts w:ascii="Source Sans Pro" w:hAnsi="Source Sans Pro"/>
        </w:rPr>
        <w:t>c</w:t>
      </w:r>
      <w:r w:rsidRPr="00CF29BB">
        <w:rPr>
          <w:rFonts w:ascii="Source Sans Pro" w:hAnsi="Source Sans Pro"/>
        </w:rPr>
        <w:t xml:space="preserve">redit students, and </w:t>
      </w:r>
      <w:r w:rsidR="00B07245">
        <w:rPr>
          <w:rFonts w:ascii="Source Sans Pro" w:hAnsi="Source Sans Pro"/>
        </w:rPr>
        <w:t>i</w:t>
      </w:r>
      <w:r w:rsidR="00C54FE2">
        <w:rPr>
          <w:rFonts w:ascii="Source Sans Pro" w:hAnsi="Source Sans Pro"/>
        </w:rPr>
        <w:t xml:space="preserve">nmates </w:t>
      </w:r>
      <w:r w:rsidR="00E432A2">
        <w:rPr>
          <w:rFonts w:ascii="Source Sans Pro" w:hAnsi="Source Sans Pro"/>
        </w:rPr>
        <w:t>in</w:t>
      </w:r>
      <w:r w:rsidR="00C54FE2">
        <w:rPr>
          <w:rFonts w:ascii="Source Sans Pro" w:hAnsi="Source Sans Pro"/>
        </w:rPr>
        <w:t xml:space="preserve"> </w:t>
      </w:r>
      <w:r w:rsidR="00B07245">
        <w:rPr>
          <w:rFonts w:ascii="Source Sans Pro" w:hAnsi="Source Sans Pro"/>
        </w:rPr>
        <w:t>c</w:t>
      </w:r>
      <w:r w:rsidR="00C54FE2">
        <w:rPr>
          <w:rFonts w:ascii="Source Sans Pro" w:hAnsi="Source Sans Pro"/>
        </w:rPr>
        <w:t xml:space="preserve">orrectional </w:t>
      </w:r>
      <w:r w:rsidR="00B07245">
        <w:rPr>
          <w:rFonts w:ascii="Source Sans Pro" w:hAnsi="Source Sans Pro"/>
        </w:rPr>
        <w:t>f</w:t>
      </w:r>
      <w:r w:rsidR="00C54FE2">
        <w:rPr>
          <w:rFonts w:ascii="Source Sans Pro" w:hAnsi="Source Sans Pro"/>
        </w:rPr>
        <w:t>acility</w:t>
      </w:r>
      <w:r w:rsidRPr="00CF29BB">
        <w:rPr>
          <w:rFonts w:ascii="Source Sans Pro" w:hAnsi="Source Sans Pro"/>
        </w:rPr>
        <w:t xml:space="preserve"> </w:t>
      </w:r>
      <w:r w:rsidR="00B07245">
        <w:rPr>
          <w:rFonts w:ascii="Source Sans Pro" w:hAnsi="Source Sans Pro"/>
        </w:rPr>
        <w:t>c</w:t>
      </w:r>
      <w:r w:rsidRPr="00CF29BB">
        <w:rPr>
          <w:rFonts w:ascii="Source Sans Pro" w:hAnsi="Source Sans Pro"/>
        </w:rPr>
        <w:t xml:space="preserve">redit students are fully funded at $5,547 per FTES. </w:t>
      </w:r>
      <w:r w:rsidR="00E432A2">
        <w:rPr>
          <w:rFonts w:ascii="Source Sans Pro" w:hAnsi="Source Sans Pro"/>
        </w:rPr>
        <w:t>N</w:t>
      </w:r>
      <w:r w:rsidR="00B07245">
        <w:rPr>
          <w:rFonts w:ascii="Source Sans Pro" w:hAnsi="Source Sans Pro"/>
        </w:rPr>
        <w:t>oncredit</w:t>
      </w:r>
      <w:r w:rsidRPr="00CF29BB">
        <w:rPr>
          <w:rFonts w:ascii="Source Sans Pro" w:hAnsi="Source Sans Pro"/>
        </w:rPr>
        <w:t xml:space="preserve"> students, including</w:t>
      </w:r>
      <w:r w:rsidR="0002588D">
        <w:rPr>
          <w:rFonts w:ascii="Source Sans Pro" w:hAnsi="Source Sans Pro"/>
        </w:rPr>
        <w:t xml:space="preserve"> </w:t>
      </w:r>
      <w:r w:rsidR="00B07245">
        <w:rPr>
          <w:rFonts w:ascii="Source Sans Pro" w:hAnsi="Source Sans Pro"/>
        </w:rPr>
        <w:t>i</w:t>
      </w:r>
      <w:r w:rsidRPr="00CF29BB">
        <w:rPr>
          <w:rFonts w:ascii="Source Sans Pro" w:hAnsi="Source Sans Pro"/>
        </w:rPr>
        <w:t>n</w:t>
      </w:r>
      <w:r w:rsidR="00C54FE2">
        <w:rPr>
          <w:rFonts w:ascii="Source Sans Pro" w:hAnsi="Source Sans Pro"/>
        </w:rPr>
        <w:t xml:space="preserve">mates </w:t>
      </w:r>
      <w:r w:rsidR="00E432A2">
        <w:rPr>
          <w:rFonts w:ascii="Source Sans Pro" w:hAnsi="Source Sans Pro"/>
        </w:rPr>
        <w:t>in</w:t>
      </w:r>
      <w:r w:rsidR="00C54FE2">
        <w:rPr>
          <w:rFonts w:ascii="Source Sans Pro" w:hAnsi="Source Sans Pro"/>
        </w:rPr>
        <w:t xml:space="preserve"> </w:t>
      </w:r>
      <w:r w:rsidR="00B07245">
        <w:rPr>
          <w:rFonts w:ascii="Source Sans Pro" w:hAnsi="Source Sans Pro"/>
        </w:rPr>
        <w:t>c</w:t>
      </w:r>
      <w:r w:rsidR="00C54FE2">
        <w:rPr>
          <w:rFonts w:ascii="Source Sans Pro" w:hAnsi="Source Sans Pro"/>
        </w:rPr>
        <w:t xml:space="preserve">orrectional </w:t>
      </w:r>
      <w:r w:rsidR="00B07245">
        <w:rPr>
          <w:rFonts w:ascii="Source Sans Pro" w:hAnsi="Source Sans Pro"/>
        </w:rPr>
        <w:t>f</w:t>
      </w:r>
      <w:r w:rsidR="00C54FE2">
        <w:rPr>
          <w:rFonts w:ascii="Source Sans Pro" w:hAnsi="Source Sans Pro"/>
        </w:rPr>
        <w:t>acilit</w:t>
      </w:r>
      <w:r w:rsidR="0002588D">
        <w:rPr>
          <w:rFonts w:ascii="Source Sans Pro" w:hAnsi="Source Sans Pro"/>
        </w:rPr>
        <w:t>ies</w:t>
      </w:r>
      <w:r w:rsidRPr="00CF29BB">
        <w:rPr>
          <w:rFonts w:ascii="Source Sans Pro" w:hAnsi="Source Sans Pro"/>
        </w:rPr>
        <w:t>, are funded at $3,347 per FTES. Base Credit FTES are funded at $3,727.</w:t>
      </w:r>
    </w:p>
    <w:p w14:paraId="63608161" w14:textId="77777777" w:rsidR="007A61BE" w:rsidRPr="00CF29BB" w:rsidRDefault="007A61BE" w:rsidP="007A61BE">
      <w:pPr>
        <w:ind w:left="499" w:right="0"/>
        <w:rPr>
          <w:rFonts w:ascii="Source Sans Pro" w:hAnsi="Source Sans Pro"/>
        </w:rPr>
      </w:pPr>
      <w:r w:rsidRPr="00CF29BB">
        <w:rPr>
          <w:rFonts w:ascii="Source Sans Pro" w:hAnsi="Source Sans Pro"/>
        </w:rPr>
        <w:t xml:space="preserve">In </w:t>
      </w:r>
      <w:r w:rsidR="000220FE">
        <w:rPr>
          <w:rFonts w:ascii="Source Sans Pro" w:hAnsi="Source Sans Pro"/>
        </w:rPr>
        <w:t>2019-20</w:t>
      </w:r>
      <w:r w:rsidRPr="00CF29BB">
        <w:rPr>
          <w:rFonts w:ascii="Source Sans Pro" w:hAnsi="Source Sans Pro"/>
        </w:rPr>
        <w:t xml:space="preserve">, the Base Credit FTES rate will be $3,387 per FTES, adjusted for changes in cost of living and other base adjustments. </w:t>
      </w:r>
    </w:p>
    <w:p w14:paraId="08505F07" w14:textId="77777777" w:rsidR="007A61BE" w:rsidRPr="00CF29BB" w:rsidRDefault="007A61BE" w:rsidP="007A61BE">
      <w:pPr>
        <w:ind w:left="499" w:right="0"/>
        <w:rPr>
          <w:rFonts w:ascii="Source Sans Pro" w:hAnsi="Source Sans Pro"/>
        </w:rPr>
      </w:pPr>
      <w:r w:rsidRPr="00CF29BB">
        <w:rPr>
          <w:rFonts w:ascii="Source Sans Pro" w:hAnsi="Source Sans Pro"/>
        </w:rPr>
        <w:t xml:space="preserve">In </w:t>
      </w:r>
      <w:r w:rsidR="000220FE">
        <w:rPr>
          <w:rFonts w:ascii="Source Sans Pro" w:hAnsi="Source Sans Pro"/>
        </w:rPr>
        <w:t>2020-21</w:t>
      </w:r>
      <w:r w:rsidRPr="00CF29BB">
        <w:rPr>
          <w:rFonts w:ascii="Source Sans Pro" w:hAnsi="Source Sans Pro"/>
        </w:rPr>
        <w:t xml:space="preserve">, the Base Credit FTES rate will be $3,046 per FTES, adjusted for changes of cost of living and other base adjustments, both in the prior year and the </w:t>
      </w:r>
      <w:r w:rsidR="000220FE">
        <w:rPr>
          <w:rFonts w:ascii="Source Sans Pro" w:hAnsi="Source Sans Pro"/>
        </w:rPr>
        <w:t>2020-21</w:t>
      </w:r>
      <w:r w:rsidRPr="00CF29BB">
        <w:rPr>
          <w:rFonts w:ascii="Source Sans Pro" w:hAnsi="Source Sans Pro"/>
        </w:rPr>
        <w:t xml:space="preserve"> fiscal year. </w:t>
      </w:r>
    </w:p>
    <w:p w14:paraId="0E5A3B87" w14:textId="77777777" w:rsidR="007A61BE" w:rsidRPr="00CF29BB" w:rsidRDefault="007A61BE" w:rsidP="007A61BE">
      <w:pPr>
        <w:ind w:left="499" w:right="0"/>
        <w:rPr>
          <w:rFonts w:ascii="Source Sans Pro" w:hAnsi="Source Sans Pro"/>
        </w:rPr>
      </w:pPr>
      <w:r w:rsidRPr="00CF29BB">
        <w:rPr>
          <w:rFonts w:ascii="Source Sans Pro" w:hAnsi="Source Sans Pro"/>
        </w:rPr>
        <w:t>In subsequent years</w:t>
      </w:r>
      <w:r w:rsidR="0002588D">
        <w:rPr>
          <w:rFonts w:ascii="Source Sans Pro" w:hAnsi="Source Sans Pro"/>
        </w:rPr>
        <w:t>,</w:t>
      </w:r>
      <w:r w:rsidRPr="00CF29BB">
        <w:rPr>
          <w:rFonts w:ascii="Source Sans Pro" w:hAnsi="Source Sans Pro"/>
        </w:rPr>
        <w:t xml:space="preserve"> the rate will be the same as in </w:t>
      </w:r>
      <w:r w:rsidR="000220FE">
        <w:rPr>
          <w:rFonts w:ascii="Source Sans Pro" w:hAnsi="Source Sans Pro"/>
        </w:rPr>
        <w:t>2020-21</w:t>
      </w:r>
      <w:r w:rsidRPr="00CF29BB">
        <w:rPr>
          <w:rFonts w:ascii="Source Sans Pro" w:hAnsi="Source Sans Pro"/>
        </w:rPr>
        <w:t xml:space="preserve">, adjusted for cost of living and base adjustments in subsequent budget acts. </w:t>
      </w:r>
    </w:p>
    <w:p w14:paraId="36AA756C" w14:textId="77777777" w:rsidR="007A61BE" w:rsidRPr="00CF29BB" w:rsidRDefault="007A61BE" w:rsidP="007A61BE">
      <w:pPr>
        <w:ind w:left="499" w:right="0"/>
        <w:rPr>
          <w:rFonts w:ascii="Source Sans Pro" w:hAnsi="Source Sans Pro"/>
        </w:rPr>
      </w:pPr>
      <w:r w:rsidRPr="00CF29BB">
        <w:rPr>
          <w:rFonts w:ascii="Source Sans Pro" w:hAnsi="Source Sans Pro"/>
        </w:rPr>
        <w:t>These Credit FTES rates are set</w:t>
      </w:r>
      <w:r w:rsidR="00917AA1" w:rsidRPr="00CF29BB">
        <w:rPr>
          <w:rFonts w:ascii="Source Sans Pro" w:hAnsi="Source Sans Pro"/>
        </w:rPr>
        <w:t xml:space="preserve"> in </w:t>
      </w:r>
      <w:r w:rsidR="00AA131D" w:rsidRPr="00CF29BB">
        <w:rPr>
          <w:rFonts w:ascii="Source Sans Pro" w:hAnsi="Source Sans Pro"/>
        </w:rPr>
        <w:t>statute (AB 1809</w:t>
      </w:r>
      <w:r w:rsidR="00D81AAF">
        <w:rPr>
          <w:rFonts w:ascii="Source Sans Pro" w:hAnsi="Source Sans Pro"/>
        </w:rPr>
        <w:t xml:space="preserve"> of 2018</w:t>
      </w:r>
      <w:r w:rsidR="00AA131D" w:rsidRPr="00CF29BB">
        <w:rPr>
          <w:rFonts w:ascii="Source Sans Pro" w:hAnsi="Source Sans Pro"/>
        </w:rPr>
        <w:t>)</w:t>
      </w:r>
      <w:r w:rsidR="00D81AAF">
        <w:rPr>
          <w:rFonts w:ascii="Source Sans Pro" w:hAnsi="Source Sans Pro"/>
        </w:rPr>
        <w:t>.</w:t>
      </w:r>
    </w:p>
    <w:p w14:paraId="44677FBC" w14:textId="77777777" w:rsidR="007A61BE" w:rsidRPr="00CF29BB" w:rsidRDefault="007A61BE" w:rsidP="000A3A65">
      <w:pPr>
        <w:pStyle w:val="Heading2"/>
        <w:ind w:left="450" w:hanging="450"/>
      </w:pPr>
      <w:bookmarkStart w:id="18" w:name="_Toc518053127"/>
      <w:r w:rsidRPr="00CF29BB">
        <w:rPr>
          <w:rFonts w:eastAsia="Calibri"/>
        </w:rPr>
        <w:t>Systemwide, are these rates the same for all districts?</w:t>
      </w:r>
      <w:bookmarkEnd w:id="18"/>
      <w:r w:rsidRPr="00CF29BB">
        <w:rPr>
          <w:rFonts w:eastAsia="Calibri"/>
        </w:rPr>
        <w:t xml:space="preserve"> </w:t>
      </w:r>
    </w:p>
    <w:p w14:paraId="519C1E6C" w14:textId="77777777" w:rsidR="00023975" w:rsidRDefault="00CF29BB" w:rsidP="00023975">
      <w:pPr>
        <w:rPr>
          <w:rFonts w:ascii="Source Sans Pro" w:hAnsi="Source Sans Pro"/>
        </w:rPr>
      </w:pPr>
      <w:r>
        <w:rPr>
          <w:rFonts w:ascii="Source Sans Pro" w:hAnsi="Source Sans Pro"/>
        </w:rPr>
        <w:t xml:space="preserve">According to </w:t>
      </w:r>
      <w:r w:rsidR="004E75B9">
        <w:rPr>
          <w:rFonts w:ascii="Source Sans Pro" w:hAnsi="Source Sans Pro"/>
        </w:rPr>
        <w:t xml:space="preserve">AB 1809, the following districts have different Base Allocation Credit FTES rates for 2018-19: </w:t>
      </w:r>
      <w:r w:rsidR="004E75B9" w:rsidRPr="00C54FE2">
        <w:rPr>
          <w:rFonts w:ascii="Source Sans Pro" w:hAnsi="Source Sans Pro"/>
        </w:rPr>
        <w:t>Foothill-De Anza Community College District (</w:t>
      </w:r>
      <w:r w:rsidR="00D81AAF">
        <w:rPr>
          <w:rFonts w:ascii="Source Sans Pro" w:hAnsi="Source Sans Pro"/>
        </w:rPr>
        <w:t>$</w:t>
      </w:r>
      <w:r w:rsidR="004E75B9" w:rsidRPr="00C54FE2">
        <w:rPr>
          <w:rFonts w:ascii="Source Sans Pro" w:hAnsi="Source Sans Pro"/>
        </w:rPr>
        <w:t>3,745), Lake Tahoe Community College District ($3,818), Lassen Community College District ($3, 794), Marin Community College District ($4,261), Mira</w:t>
      </w:r>
      <w:r w:rsidR="00D81AAF">
        <w:rPr>
          <w:rFonts w:ascii="Source Sans Pro" w:hAnsi="Source Sans Pro"/>
        </w:rPr>
        <w:t xml:space="preserve"> </w:t>
      </w:r>
      <w:r w:rsidR="004E75B9" w:rsidRPr="00C54FE2">
        <w:rPr>
          <w:rFonts w:ascii="Source Sans Pro" w:hAnsi="Source Sans Pro"/>
        </w:rPr>
        <w:t xml:space="preserve">Costa Community College District  ($3,734), San Francisco Community College District ($3,756), San Jose-Evergreen Community College District ($3,744,  Santa Monica Community College District ($3,776), South Orange Community College District ($3,826), and West Kern Community College District ($4,934). </w:t>
      </w:r>
      <w:bookmarkStart w:id="19" w:name="_Toc518053128"/>
    </w:p>
    <w:p w14:paraId="6D47E7E1" w14:textId="77777777" w:rsidR="007A61BE" w:rsidRPr="00023975" w:rsidRDefault="007A61BE" w:rsidP="00023975">
      <w:pPr>
        <w:pStyle w:val="Heading2"/>
        <w:ind w:left="547" w:hanging="547"/>
        <w:rPr>
          <w:rFonts w:ascii="Calibri" w:hAnsi="Calibri"/>
        </w:rPr>
      </w:pPr>
      <w:r w:rsidRPr="00CF29BB">
        <w:rPr>
          <w:rFonts w:eastAsia="Calibri"/>
        </w:rPr>
        <w:t xml:space="preserve">Will </w:t>
      </w:r>
      <w:r w:rsidR="00D81AAF">
        <w:rPr>
          <w:rFonts w:eastAsia="Calibri"/>
        </w:rPr>
        <w:t>noncredit</w:t>
      </w:r>
      <w:r w:rsidRPr="00CF29BB">
        <w:rPr>
          <w:rFonts w:eastAsia="Calibri"/>
        </w:rPr>
        <w:t xml:space="preserve"> and CDCP rates increase in future years?</w:t>
      </w:r>
      <w:bookmarkEnd w:id="19"/>
      <w:r w:rsidRPr="00CF29BB">
        <w:rPr>
          <w:rFonts w:eastAsia="Calibri"/>
        </w:rPr>
        <w:t xml:space="preserve"> </w:t>
      </w:r>
    </w:p>
    <w:p w14:paraId="7A9789FC" w14:textId="77777777" w:rsidR="007A61BE" w:rsidRPr="00CF29BB" w:rsidRDefault="007A61BE" w:rsidP="007A61BE">
      <w:pPr>
        <w:ind w:left="499" w:right="0"/>
        <w:rPr>
          <w:rFonts w:ascii="Source Sans Pro" w:hAnsi="Source Sans Pro"/>
        </w:rPr>
      </w:pPr>
      <w:r w:rsidRPr="00CF29BB">
        <w:rPr>
          <w:rFonts w:ascii="Source Sans Pro" w:hAnsi="Source Sans Pro"/>
        </w:rPr>
        <w:t xml:space="preserve">Yes, they will increase by COLA. </w:t>
      </w:r>
    </w:p>
    <w:p w14:paraId="22959471" w14:textId="77777777" w:rsidR="007A61BE" w:rsidRPr="00CF29BB" w:rsidRDefault="007A61BE" w:rsidP="00023975">
      <w:pPr>
        <w:pStyle w:val="Heading2"/>
        <w:ind w:left="547" w:hanging="547"/>
        <w:rPr>
          <w:rStyle w:val="Heading2Char"/>
        </w:rPr>
      </w:pPr>
      <w:bookmarkStart w:id="20" w:name="_Toc518053129"/>
      <w:bookmarkStart w:id="21" w:name="_Hlk534977644"/>
      <w:r w:rsidRPr="00CF29BB">
        <w:rPr>
          <w:rStyle w:val="Heading2Char"/>
        </w:rPr>
        <w:lastRenderedPageBreak/>
        <w:t xml:space="preserve">Is it possible for a district’s </w:t>
      </w:r>
      <w:r w:rsidR="009D2B10" w:rsidRPr="00CF29BB">
        <w:rPr>
          <w:rStyle w:val="Heading2Char"/>
        </w:rPr>
        <w:t>Basic Allocation</w:t>
      </w:r>
      <w:r w:rsidRPr="00CF29BB">
        <w:rPr>
          <w:rStyle w:val="Heading2Char"/>
        </w:rPr>
        <w:t xml:space="preserve"> to shrink in </w:t>
      </w:r>
      <w:r w:rsidR="000220FE">
        <w:rPr>
          <w:rStyle w:val="Heading2Char"/>
        </w:rPr>
        <w:t>2018-19</w:t>
      </w:r>
      <w:r w:rsidRPr="00CF29BB">
        <w:rPr>
          <w:rStyle w:val="Heading2Char"/>
        </w:rPr>
        <w:t xml:space="preserve"> or any future years with the new formula?</w:t>
      </w:r>
      <w:bookmarkEnd w:id="20"/>
      <w:r w:rsidRPr="00CF29BB">
        <w:rPr>
          <w:rStyle w:val="Heading2Char"/>
        </w:rPr>
        <w:t xml:space="preserve"> </w:t>
      </w:r>
    </w:p>
    <w:p w14:paraId="5F6C6B52" w14:textId="77777777" w:rsidR="00D44CDC" w:rsidRPr="00B07245" w:rsidRDefault="007A61BE" w:rsidP="00D44CDC">
      <w:pPr>
        <w:rPr>
          <w:rFonts w:ascii="Source Sans Pro" w:eastAsiaTheme="minorHAnsi" w:hAnsi="Source Sans Pro"/>
          <w:color w:val="1F497D"/>
        </w:rPr>
      </w:pPr>
      <w:r w:rsidRPr="00CF29BB">
        <w:rPr>
          <w:rFonts w:ascii="Source Sans Pro" w:hAnsi="Source Sans Pro"/>
        </w:rPr>
        <w:t xml:space="preserve">The same stability mechanism that applied to the </w:t>
      </w:r>
      <w:r w:rsidR="00D81AAF">
        <w:rPr>
          <w:rFonts w:ascii="Source Sans Pro" w:hAnsi="Source Sans Pro"/>
        </w:rPr>
        <w:t>previous</w:t>
      </w:r>
      <w:r w:rsidR="00D81AAF" w:rsidRPr="00CF29BB">
        <w:rPr>
          <w:rFonts w:ascii="Source Sans Pro" w:hAnsi="Source Sans Pro"/>
        </w:rPr>
        <w:t xml:space="preserve"> </w:t>
      </w:r>
      <w:r w:rsidRPr="00CF29BB">
        <w:rPr>
          <w:rFonts w:ascii="Source Sans Pro" w:hAnsi="Source Sans Pro"/>
        </w:rPr>
        <w:t xml:space="preserve">formula applies to the new funding formula.  If a district decreases in size and goes from a medium to a </w:t>
      </w:r>
      <w:r w:rsidR="00D81AAF" w:rsidRPr="00CF29BB">
        <w:rPr>
          <w:rFonts w:ascii="Source Sans Pro" w:hAnsi="Source Sans Pro"/>
        </w:rPr>
        <w:t>small</w:t>
      </w:r>
      <w:r w:rsidR="00135FE5">
        <w:rPr>
          <w:rFonts w:ascii="Source Sans Pro" w:hAnsi="Source Sans Pro"/>
        </w:rPr>
        <w:t xml:space="preserve"> </w:t>
      </w:r>
      <w:r w:rsidRPr="00CF29BB">
        <w:rPr>
          <w:rFonts w:ascii="Source Sans Pro" w:hAnsi="Source Sans Pro"/>
        </w:rPr>
        <w:t xml:space="preserve">size then that district will shrink in </w:t>
      </w:r>
      <w:r w:rsidR="00D81AAF">
        <w:rPr>
          <w:rFonts w:ascii="Source Sans Pro" w:hAnsi="Source Sans Pro"/>
        </w:rPr>
        <w:t>the fourth year</w:t>
      </w:r>
      <w:r w:rsidRPr="00CF29BB">
        <w:rPr>
          <w:rFonts w:ascii="Source Sans Pro" w:hAnsi="Source Sans Pro"/>
        </w:rPr>
        <w:t xml:space="preserve"> from the initial year of decrease (there is a three-year stability allowance for basic allowance decreases).  </w:t>
      </w:r>
      <w:r w:rsidR="0002588D">
        <w:rPr>
          <w:rFonts w:ascii="Source Sans Pro" w:hAnsi="Source Sans Pro"/>
        </w:rPr>
        <w:t>T</w:t>
      </w:r>
      <w:r w:rsidRPr="00CF29BB">
        <w:rPr>
          <w:rFonts w:ascii="Source Sans Pro" w:hAnsi="Source Sans Pro"/>
        </w:rPr>
        <w:t>his provision is unchanged under the new funding formula language</w:t>
      </w:r>
      <w:r w:rsidR="00A31572">
        <w:rPr>
          <w:rFonts w:ascii="Source Sans Pro" w:hAnsi="Source Sans Pro"/>
        </w:rPr>
        <w:t xml:space="preserve"> which is governed by</w:t>
      </w:r>
      <w:r w:rsidR="00D44CDC" w:rsidRPr="007C0593">
        <w:rPr>
          <w:rFonts w:ascii="Source Sans Pro" w:hAnsi="Source Sans Pro"/>
          <w:color w:val="auto"/>
        </w:rPr>
        <w:t xml:space="preserve"> </w:t>
      </w:r>
      <w:r w:rsidR="00D44CDC" w:rsidRPr="005C74AE">
        <w:rPr>
          <w:rFonts w:ascii="Source Sans Pro" w:hAnsi="Source Sans Pro"/>
          <w:color w:val="auto"/>
        </w:rPr>
        <w:t xml:space="preserve">Title </w:t>
      </w:r>
      <w:r w:rsidR="005C74AE" w:rsidRPr="005C74AE">
        <w:rPr>
          <w:rFonts w:ascii="Source Sans Pro" w:hAnsi="Source Sans Pro"/>
          <w:color w:val="auto"/>
        </w:rPr>
        <w:t xml:space="preserve">5 Section </w:t>
      </w:r>
      <w:r w:rsidR="00D44CDC" w:rsidRPr="005C74AE">
        <w:rPr>
          <w:rFonts w:ascii="Source Sans Pro" w:hAnsi="Source Sans Pro"/>
          <w:color w:val="auto"/>
        </w:rPr>
        <w:t>58771</w:t>
      </w:r>
      <w:r w:rsidR="005C74AE">
        <w:rPr>
          <w:rFonts w:ascii="Source Sans Pro" w:hAnsi="Source Sans Pro"/>
          <w:color w:val="auto"/>
        </w:rPr>
        <w:t xml:space="preserve"> (Base Fiscal Year Revenues)</w:t>
      </w:r>
      <w:r w:rsidR="005C74AE" w:rsidRPr="005C74AE">
        <w:rPr>
          <w:rFonts w:ascii="Source Sans Pro" w:hAnsi="Source Sans Pro"/>
          <w:color w:val="auto"/>
        </w:rPr>
        <w:t xml:space="preserve">. </w:t>
      </w:r>
    </w:p>
    <w:p w14:paraId="5D5E1270" w14:textId="77777777" w:rsidR="007A61BE" w:rsidRPr="00CF29BB" w:rsidRDefault="007A61BE" w:rsidP="000A3A65">
      <w:pPr>
        <w:pStyle w:val="Heading2"/>
        <w:ind w:left="540" w:hanging="540"/>
        <w:rPr>
          <w:rStyle w:val="Heading2Char"/>
        </w:rPr>
      </w:pPr>
      <w:bookmarkStart w:id="22" w:name="_Toc518053130"/>
      <w:bookmarkEnd w:id="21"/>
      <w:r w:rsidRPr="00CF29BB">
        <w:rPr>
          <w:rStyle w:val="Heading2Char"/>
        </w:rPr>
        <w:t>Are Special Admit and In</w:t>
      </w:r>
      <w:r w:rsidR="00C54FE2">
        <w:rPr>
          <w:rStyle w:val="Heading2Char"/>
        </w:rPr>
        <w:t xml:space="preserve">mates </w:t>
      </w:r>
      <w:r w:rsidR="00E432A2">
        <w:rPr>
          <w:rStyle w:val="Heading2Char"/>
        </w:rPr>
        <w:t>in</w:t>
      </w:r>
      <w:r w:rsidR="00C54FE2">
        <w:rPr>
          <w:rStyle w:val="Heading2Char"/>
        </w:rPr>
        <w:t xml:space="preserve"> Correctional Facility</w:t>
      </w:r>
      <w:r w:rsidRPr="00CF29BB">
        <w:rPr>
          <w:rStyle w:val="Heading2Char"/>
        </w:rPr>
        <w:t xml:space="preserve"> FTES being double counted when funded for the Base Credit FTES?</w:t>
      </w:r>
      <w:bookmarkEnd w:id="22"/>
      <w:r w:rsidRPr="00CF29BB">
        <w:rPr>
          <w:rStyle w:val="Heading2Char"/>
        </w:rPr>
        <w:t xml:space="preserve"> </w:t>
      </w:r>
    </w:p>
    <w:p w14:paraId="7CF630DE" w14:textId="77777777" w:rsidR="007C0593" w:rsidRDefault="007A61BE" w:rsidP="007C0593">
      <w:pPr>
        <w:ind w:left="499" w:right="0"/>
        <w:rPr>
          <w:rFonts w:ascii="Source Sans Pro" w:hAnsi="Source Sans Pro"/>
        </w:rPr>
      </w:pPr>
      <w:r w:rsidRPr="00CF29BB">
        <w:rPr>
          <w:rFonts w:ascii="Source Sans Pro" w:hAnsi="Source Sans Pro"/>
        </w:rPr>
        <w:t xml:space="preserve">No, FTES for these groups are not double counted in the </w:t>
      </w:r>
      <w:r w:rsidR="00B07245">
        <w:rPr>
          <w:rFonts w:ascii="Source Sans Pro" w:hAnsi="Source Sans Pro"/>
        </w:rPr>
        <w:t>c</w:t>
      </w:r>
      <w:r w:rsidRPr="00CF29BB">
        <w:rPr>
          <w:rFonts w:ascii="Source Sans Pro" w:hAnsi="Source Sans Pro"/>
        </w:rPr>
        <w:t xml:space="preserve">redit FTES funding calculations. </w:t>
      </w:r>
      <w:bookmarkStart w:id="23" w:name="_Toc518053131"/>
    </w:p>
    <w:p w14:paraId="0BBDC138" w14:textId="77777777" w:rsidR="007A61BE" w:rsidRPr="007C0593" w:rsidRDefault="007A61BE" w:rsidP="00023975">
      <w:pPr>
        <w:pStyle w:val="Heading2"/>
        <w:ind w:left="547" w:hanging="547"/>
      </w:pPr>
      <w:r w:rsidRPr="007C0593">
        <w:rPr>
          <w:rFonts w:eastAsia="Calibri"/>
        </w:rPr>
        <w:t xml:space="preserve">Is COLA being applied to the </w:t>
      </w:r>
      <w:r w:rsidR="009D2B10" w:rsidRPr="007C0593">
        <w:rPr>
          <w:rFonts w:eastAsia="Calibri"/>
        </w:rPr>
        <w:t>Basic Allocation</w:t>
      </w:r>
      <w:r w:rsidRPr="007C0593">
        <w:rPr>
          <w:rFonts w:eastAsia="Calibri"/>
        </w:rPr>
        <w:t>?</w:t>
      </w:r>
      <w:bookmarkEnd w:id="23"/>
      <w:r w:rsidRPr="007C0593">
        <w:rPr>
          <w:rFonts w:eastAsia="Calibri"/>
        </w:rPr>
        <w:t xml:space="preserve"> </w:t>
      </w:r>
    </w:p>
    <w:p w14:paraId="09AA2B88" w14:textId="77777777" w:rsidR="007C0593" w:rsidRPr="00023975" w:rsidRDefault="007A61BE" w:rsidP="007C0593">
      <w:pPr>
        <w:spacing w:after="170"/>
        <w:ind w:left="499" w:right="0"/>
        <w:rPr>
          <w:rFonts w:ascii="Source Sans Pro" w:hAnsi="Source Sans Pro"/>
        </w:rPr>
      </w:pPr>
      <w:r w:rsidRPr="00CF29BB">
        <w:rPr>
          <w:rFonts w:ascii="Source Sans Pro" w:hAnsi="Source Sans Pro"/>
        </w:rPr>
        <w:t xml:space="preserve">Yes. </w:t>
      </w:r>
      <w:bookmarkStart w:id="24" w:name="_Toc518053132"/>
    </w:p>
    <w:p w14:paraId="6054BDFF" w14:textId="77777777" w:rsidR="007A61BE" w:rsidRPr="00023975" w:rsidRDefault="007A61BE" w:rsidP="00023975">
      <w:pPr>
        <w:pStyle w:val="Heading2"/>
        <w:ind w:left="547" w:hanging="547"/>
      </w:pPr>
      <w:r w:rsidRPr="00023975">
        <w:rPr>
          <w:rFonts w:eastAsia="Calibri"/>
        </w:rPr>
        <w:t>Is COLA being applied to the Base Allocation as a whole?</w:t>
      </w:r>
      <w:bookmarkEnd w:id="24"/>
      <w:r w:rsidRPr="00023975">
        <w:rPr>
          <w:rFonts w:eastAsia="Calibri"/>
        </w:rPr>
        <w:t xml:space="preserve"> </w:t>
      </w:r>
    </w:p>
    <w:p w14:paraId="2E09C551" w14:textId="77777777" w:rsidR="00023975" w:rsidRDefault="007A61BE" w:rsidP="00023975">
      <w:pPr>
        <w:ind w:left="499" w:right="0"/>
        <w:rPr>
          <w:rFonts w:ascii="Source Sans Pro" w:hAnsi="Source Sans Pro"/>
        </w:rPr>
      </w:pPr>
      <w:r w:rsidRPr="00CF29BB">
        <w:rPr>
          <w:rFonts w:ascii="Source Sans Pro" w:hAnsi="Source Sans Pro"/>
        </w:rPr>
        <w:t xml:space="preserve">Yes. In addition to the </w:t>
      </w:r>
      <w:r w:rsidR="009D2B10" w:rsidRPr="00CF29BB">
        <w:rPr>
          <w:rFonts w:ascii="Source Sans Pro" w:hAnsi="Source Sans Pro"/>
        </w:rPr>
        <w:t>Bas</w:t>
      </w:r>
      <w:r w:rsidR="006721EF">
        <w:rPr>
          <w:rFonts w:ascii="Source Sans Pro" w:hAnsi="Source Sans Pro"/>
        </w:rPr>
        <w:t>e</w:t>
      </w:r>
      <w:r w:rsidR="009D2B10" w:rsidRPr="00CF29BB">
        <w:rPr>
          <w:rFonts w:ascii="Source Sans Pro" w:hAnsi="Source Sans Pro"/>
        </w:rPr>
        <w:t xml:space="preserve"> Allocation</w:t>
      </w:r>
      <w:r w:rsidRPr="00CF29BB">
        <w:rPr>
          <w:rFonts w:ascii="Source Sans Pro" w:hAnsi="Source Sans Pro"/>
        </w:rPr>
        <w:t xml:space="preserve"> COLA, </w:t>
      </w:r>
      <w:r w:rsidR="00B07245">
        <w:rPr>
          <w:rFonts w:ascii="Source Sans Pro" w:hAnsi="Source Sans Pro"/>
        </w:rPr>
        <w:t>noncredit</w:t>
      </w:r>
      <w:r w:rsidRPr="00CF29BB">
        <w:rPr>
          <w:rFonts w:ascii="Source Sans Pro" w:hAnsi="Source Sans Pro"/>
        </w:rPr>
        <w:t xml:space="preserve">, CDCP, </w:t>
      </w:r>
      <w:r w:rsidR="00B07245">
        <w:rPr>
          <w:rFonts w:ascii="Source Sans Pro" w:hAnsi="Source Sans Pro"/>
        </w:rPr>
        <w:t>s</w:t>
      </w:r>
      <w:r w:rsidRPr="00CF29BB">
        <w:rPr>
          <w:rFonts w:ascii="Source Sans Pro" w:hAnsi="Source Sans Pro"/>
        </w:rPr>
        <w:t xml:space="preserve">pecial </w:t>
      </w:r>
      <w:r w:rsidR="00B07245">
        <w:rPr>
          <w:rFonts w:ascii="Source Sans Pro" w:hAnsi="Source Sans Pro"/>
        </w:rPr>
        <w:t>a</w:t>
      </w:r>
      <w:r w:rsidRPr="00CF29BB">
        <w:rPr>
          <w:rFonts w:ascii="Source Sans Pro" w:hAnsi="Source Sans Pro"/>
        </w:rPr>
        <w:t xml:space="preserve">dmit, and </w:t>
      </w:r>
      <w:r w:rsidR="00B07245">
        <w:rPr>
          <w:rFonts w:ascii="Source Sans Pro" w:hAnsi="Source Sans Pro"/>
        </w:rPr>
        <w:t>i</w:t>
      </w:r>
      <w:r w:rsidRPr="00CF29BB">
        <w:rPr>
          <w:rFonts w:ascii="Source Sans Pro" w:hAnsi="Source Sans Pro"/>
        </w:rPr>
        <w:t>n</w:t>
      </w:r>
      <w:r w:rsidR="00C54FE2">
        <w:rPr>
          <w:rFonts w:ascii="Source Sans Pro" w:hAnsi="Source Sans Pro"/>
        </w:rPr>
        <w:t>mate</w:t>
      </w:r>
      <w:r w:rsidR="00E432A2">
        <w:rPr>
          <w:rFonts w:ascii="Source Sans Pro" w:hAnsi="Source Sans Pro"/>
        </w:rPr>
        <w:t>s</w:t>
      </w:r>
      <w:r w:rsidR="00C54FE2">
        <w:rPr>
          <w:rFonts w:ascii="Source Sans Pro" w:hAnsi="Source Sans Pro"/>
        </w:rPr>
        <w:t xml:space="preserve"> in correctional facility</w:t>
      </w:r>
      <w:r w:rsidRPr="00CF29BB">
        <w:rPr>
          <w:rFonts w:ascii="Source Sans Pro" w:hAnsi="Source Sans Pro"/>
        </w:rPr>
        <w:t xml:space="preserve"> FTES rates will increase by COLA.</w:t>
      </w:r>
      <w:bookmarkStart w:id="25" w:name="_Toc518053133"/>
    </w:p>
    <w:p w14:paraId="47E37A8F" w14:textId="77777777" w:rsidR="007A61BE" w:rsidRPr="00CF29BB" w:rsidRDefault="007A61BE" w:rsidP="00023975">
      <w:pPr>
        <w:pStyle w:val="Heading2"/>
        <w:ind w:left="547" w:hanging="547"/>
      </w:pPr>
      <w:r w:rsidRPr="00CF29BB">
        <w:rPr>
          <w:rFonts w:eastAsia="Calibri"/>
        </w:rPr>
        <w:t xml:space="preserve">Can the </w:t>
      </w:r>
      <w:r w:rsidR="004902FA">
        <w:rPr>
          <w:rFonts w:eastAsia="Calibri"/>
        </w:rPr>
        <w:t>three-year average</w:t>
      </w:r>
      <w:r w:rsidRPr="00CF29BB">
        <w:rPr>
          <w:rFonts w:eastAsia="Calibri"/>
        </w:rPr>
        <w:t xml:space="preserve"> change a district’s status for its </w:t>
      </w:r>
      <w:r w:rsidR="009D2B10" w:rsidRPr="00CF29BB">
        <w:rPr>
          <w:rFonts w:eastAsia="Calibri"/>
        </w:rPr>
        <w:t>Basic Allocation</w:t>
      </w:r>
      <w:r w:rsidRPr="00CF29BB">
        <w:rPr>
          <w:rFonts w:eastAsia="Calibri"/>
        </w:rPr>
        <w:t>?</w:t>
      </w:r>
      <w:bookmarkEnd w:id="25"/>
      <w:r w:rsidRPr="00CF29BB">
        <w:rPr>
          <w:rFonts w:eastAsia="Calibri"/>
        </w:rPr>
        <w:t xml:space="preserve"> </w:t>
      </w:r>
    </w:p>
    <w:p w14:paraId="7CE19A62" w14:textId="77777777" w:rsidR="007A61BE" w:rsidRPr="00CF29BB" w:rsidRDefault="007A61BE" w:rsidP="007A61BE">
      <w:pPr>
        <w:ind w:left="499" w:right="0"/>
        <w:rPr>
          <w:rFonts w:ascii="Source Sans Pro" w:hAnsi="Source Sans Pro"/>
        </w:rPr>
      </w:pPr>
      <w:r w:rsidRPr="00CF29BB">
        <w:rPr>
          <w:rFonts w:ascii="Source Sans Pro" w:hAnsi="Source Sans Pro"/>
        </w:rPr>
        <w:t>No</w:t>
      </w:r>
      <w:r w:rsidR="00E432A2">
        <w:rPr>
          <w:rFonts w:ascii="Source Sans Pro" w:hAnsi="Source Sans Pro"/>
        </w:rPr>
        <w:t>. A</w:t>
      </w:r>
      <w:r w:rsidRPr="00CF29BB">
        <w:rPr>
          <w:rFonts w:ascii="Source Sans Pro" w:hAnsi="Source Sans Pro"/>
        </w:rPr>
        <w:t xml:space="preserve"> district’s funding will not decrease for the </w:t>
      </w:r>
      <w:r w:rsidR="009D2B10" w:rsidRPr="00CF29BB">
        <w:rPr>
          <w:rFonts w:ascii="Source Sans Pro" w:hAnsi="Source Sans Pro"/>
        </w:rPr>
        <w:t>Basic Allocation</w:t>
      </w:r>
      <w:r w:rsidRPr="00CF29BB">
        <w:rPr>
          <w:rFonts w:ascii="Source Sans Pro" w:hAnsi="Source Sans Pro"/>
        </w:rPr>
        <w:t xml:space="preserve"> based on the </w:t>
      </w:r>
      <w:r w:rsidR="004902FA">
        <w:rPr>
          <w:rFonts w:ascii="Source Sans Pro" w:hAnsi="Source Sans Pro"/>
        </w:rPr>
        <w:t>three-year average</w:t>
      </w:r>
      <w:r w:rsidRPr="00CF29BB">
        <w:rPr>
          <w:rFonts w:ascii="Source Sans Pro" w:hAnsi="Source Sans Pro"/>
        </w:rPr>
        <w:t xml:space="preserve">. </w:t>
      </w:r>
    </w:p>
    <w:p w14:paraId="75ECAB04" w14:textId="77777777" w:rsidR="007A61BE" w:rsidRPr="00CF29BB" w:rsidRDefault="007A61BE" w:rsidP="00023975">
      <w:pPr>
        <w:pStyle w:val="Heading2"/>
        <w:ind w:left="547" w:hanging="547"/>
      </w:pPr>
      <w:bookmarkStart w:id="26" w:name="_Toc518053134"/>
      <w:r w:rsidRPr="00CF29BB">
        <w:rPr>
          <w:rFonts w:eastAsia="Calibri"/>
        </w:rPr>
        <w:t xml:space="preserve">Why are </w:t>
      </w:r>
      <w:r w:rsidRPr="000D43C7">
        <w:rPr>
          <w:rFonts w:eastAsia="Calibri"/>
        </w:rPr>
        <w:t>I</w:t>
      </w:r>
      <w:r w:rsidR="000D43C7">
        <w:rPr>
          <w:rFonts w:eastAsia="Calibri"/>
        </w:rPr>
        <w:t xml:space="preserve">nmates in Correctional Facilities </w:t>
      </w:r>
      <w:r w:rsidRPr="000D43C7">
        <w:rPr>
          <w:rFonts w:eastAsia="Calibri"/>
        </w:rPr>
        <w:t xml:space="preserve">and </w:t>
      </w:r>
      <w:r w:rsidR="00B07245">
        <w:rPr>
          <w:rFonts w:eastAsia="Calibri"/>
        </w:rPr>
        <w:t>S</w:t>
      </w:r>
      <w:r w:rsidR="000D43C7">
        <w:rPr>
          <w:rFonts w:eastAsia="Calibri"/>
        </w:rPr>
        <w:t xml:space="preserve">pecial </w:t>
      </w:r>
      <w:r w:rsidR="00B07245">
        <w:rPr>
          <w:rFonts w:eastAsia="Calibri"/>
        </w:rPr>
        <w:t>Ad</w:t>
      </w:r>
      <w:r w:rsidR="000D43C7">
        <w:rPr>
          <w:rFonts w:eastAsia="Calibri"/>
        </w:rPr>
        <w:t>mit</w:t>
      </w:r>
      <w:r w:rsidRPr="000D43C7">
        <w:rPr>
          <w:rFonts w:eastAsia="Calibri"/>
        </w:rPr>
        <w:t xml:space="preserve"> FTES</w:t>
      </w:r>
      <w:r w:rsidRPr="00CF29BB">
        <w:rPr>
          <w:rFonts w:eastAsia="Calibri"/>
        </w:rPr>
        <w:t xml:space="preserve"> paid at the fully funded amount?</w:t>
      </w:r>
      <w:bookmarkEnd w:id="26"/>
      <w:r w:rsidRPr="00CF29BB">
        <w:rPr>
          <w:rFonts w:eastAsia="Calibri"/>
        </w:rPr>
        <w:t xml:space="preserve"> </w:t>
      </w:r>
    </w:p>
    <w:p w14:paraId="1369BDC1" w14:textId="77777777" w:rsidR="00830B49" w:rsidRDefault="007A61BE" w:rsidP="00830B49">
      <w:pPr>
        <w:spacing w:after="0"/>
        <w:ind w:left="499" w:right="0"/>
        <w:rPr>
          <w:rFonts w:ascii="Source Sans Pro" w:hAnsi="Source Sans Pro"/>
        </w:rPr>
      </w:pPr>
      <w:r w:rsidRPr="000D43C7">
        <w:rPr>
          <w:rFonts w:ascii="Source Sans Pro" w:hAnsi="Source Sans Pro"/>
        </w:rPr>
        <w:t>In</w:t>
      </w:r>
      <w:r w:rsidR="000D43C7">
        <w:rPr>
          <w:rFonts w:ascii="Source Sans Pro" w:hAnsi="Source Sans Pro"/>
        </w:rPr>
        <w:t xml:space="preserve">mates in correctional facilities </w:t>
      </w:r>
      <w:r w:rsidRPr="000D43C7">
        <w:rPr>
          <w:rFonts w:ascii="Source Sans Pro" w:hAnsi="Source Sans Pro"/>
        </w:rPr>
        <w:t xml:space="preserve">and </w:t>
      </w:r>
      <w:r w:rsidR="000D43C7">
        <w:rPr>
          <w:rFonts w:ascii="Source Sans Pro" w:hAnsi="Source Sans Pro"/>
        </w:rPr>
        <w:t>special admit</w:t>
      </w:r>
      <w:r w:rsidRPr="00CF29BB">
        <w:rPr>
          <w:rFonts w:ascii="Source Sans Pro" w:hAnsi="Source Sans Pro"/>
        </w:rPr>
        <w:t xml:space="preserve"> students are special FTES populations that the state encourages districts to continue to serve. Thus, the new formula retains the current funding formula rates for these groups of students.</w:t>
      </w:r>
    </w:p>
    <w:p w14:paraId="5AA14DFC" w14:textId="77777777" w:rsidR="007A61BE" w:rsidRPr="00CF29BB" w:rsidRDefault="007A61BE" w:rsidP="00830B49">
      <w:pPr>
        <w:spacing w:after="0"/>
        <w:ind w:left="499" w:right="0"/>
        <w:rPr>
          <w:rFonts w:ascii="Source Sans Pro" w:hAnsi="Source Sans Pro"/>
        </w:rPr>
      </w:pPr>
      <w:r w:rsidRPr="00CF29BB">
        <w:rPr>
          <w:rFonts w:ascii="Source Sans Pro" w:hAnsi="Source Sans Pro"/>
        </w:rPr>
        <w:t xml:space="preserve"> </w:t>
      </w:r>
    </w:p>
    <w:p w14:paraId="79399136" w14:textId="77777777" w:rsidR="007A61BE" w:rsidRPr="00CF29BB" w:rsidRDefault="007A61BE" w:rsidP="00023975">
      <w:pPr>
        <w:pStyle w:val="Heading2"/>
        <w:ind w:left="547" w:hanging="547"/>
      </w:pPr>
      <w:bookmarkStart w:id="27" w:name="_Toc518053135"/>
      <w:r w:rsidRPr="00E772FA">
        <w:rPr>
          <w:rStyle w:val="Heading2Char"/>
        </w:rPr>
        <w:t>Are In</w:t>
      </w:r>
      <w:r w:rsidR="00E772FA">
        <w:rPr>
          <w:rStyle w:val="Heading2Char"/>
        </w:rPr>
        <w:t>mates in Correctional Facilities</w:t>
      </w:r>
      <w:r w:rsidRPr="00E772FA">
        <w:rPr>
          <w:rStyle w:val="Heading2Char"/>
        </w:rPr>
        <w:t xml:space="preserve"> and </w:t>
      </w:r>
      <w:r w:rsidR="00B07245">
        <w:rPr>
          <w:rStyle w:val="Heading2Char"/>
        </w:rPr>
        <w:t>S</w:t>
      </w:r>
      <w:r w:rsidRPr="00E772FA">
        <w:rPr>
          <w:rStyle w:val="Heading2Char"/>
        </w:rPr>
        <w:t xml:space="preserve">pecial </w:t>
      </w:r>
      <w:r w:rsidR="00B07245">
        <w:rPr>
          <w:rStyle w:val="Heading2Char"/>
        </w:rPr>
        <w:t>A</w:t>
      </w:r>
      <w:r w:rsidRPr="00E772FA">
        <w:rPr>
          <w:rStyle w:val="Heading2Char"/>
        </w:rPr>
        <w:t xml:space="preserve">dmit </w:t>
      </w:r>
      <w:r w:rsidR="00AC6F86">
        <w:rPr>
          <w:rStyle w:val="Heading2Char"/>
        </w:rPr>
        <w:t>students</w:t>
      </w:r>
      <w:r w:rsidR="00AC6F86" w:rsidRPr="00E772FA">
        <w:rPr>
          <w:rStyle w:val="Heading2Char"/>
        </w:rPr>
        <w:t xml:space="preserve"> </w:t>
      </w:r>
      <w:r w:rsidRPr="00E772FA">
        <w:rPr>
          <w:rStyle w:val="Heading2Char"/>
        </w:rPr>
        <w:t>excluded from the Supplement</w:t>
      </w:r>
      <w:r w:rsidR="00585C3B" w:rsidRPr="00E772FA">
        <w:rPr>
          <w:rStyle w:val="Heading2Char"/>
        </w:rPr>
        <w:t>al</w:t>
      </w:r>
      <w:r w:rsidRPr="00E772FA">
        <w:rPr>
          <w:rStyle w:val="Heading2Char"/>
        </w:rPr>
        <w:t xml:space="preserve"> and </w:t>
      </w:r>
      <w:r w:rsidR="00B53386" w:rsidRPr="00E772FA">
        <w:rPr>
          <w:rStyle w:val="Heading2Char"/>
        </w:rPr>
        <w:t>S</w:t>
      </w:r>
      <w:r w:rsidR="00E772FA">
        <w:rPr>
          <w:rStyle w:val="Heading2Char"/>
        </w:rPr>
        <w:t>tudent S</w:t>
      </w:r>
      <w:r w:rsidR="00B53386" w:rsidRPr="00E772FA">
        <w:rPr>
          <w:rStyle w:val="Heading2Char"/>
        </w:rPr>
        <w:t>uccess Allocation</w:t>
      </w:r>
      <w:r w:rsidRPr="00E772FA">
        <w:rPr>
          <w:rStyle w:val="Heading2Char"/>
        </w:rPr>
        <w:t>s?</w:t>
      </w:r>
      <w:bookmarkEnd w:id="27"/>
      <w:r w:rsidRPr="00CF29BB">
        <w:rPr>
          <w:b/>
          <w:sz w:val="24"/>
        </w:rPr>
        <w:t xml:space="preserve"> </w:t>
      </w:r>
    </w:p>
    <w:p w14:paraId="3084CE90" w14:textId="77777777" w:rsidR="00023975" w:rsidRDefault="009E0239" w:rsidP="00023975">
      <w:pPr>
        <w:ind w:left="499" w:right="0"/>
        <w:rPr>
          <w:rFonts w:ascii="Source Sans Pro" w:hAnsi="Source Sans Pro"/>
          <w:b/>
        </w:rPr>
      </w:pPr>
      <w:r>
        <w:rPr>
          <w:rFonts w:ascii="Source Sans Pro" w:hAnsi="Source Sans Pro"/>
        </w:rPr>
        <w:t>The statute does not exclude i</w:t>
      </w:r>
      <w:r w:rsidR="005C7AF3" w:rsidRPr="00E772FA">
        <w:rPr>
          <w:rFonts w:ascii="Source Sans Pro" w:hAnsi="Source Sans Pro"/>
        </w:rPr>
        <w:t>n</w:t>
      </w:r>
      <w:r w:rsidR="00E772FA">
        <w:rPr>
          <w:rFonts w:ascii="Source Sans Pro" w:hAnsi="Source Sans Pro"/>
        </w:rPr>
        <w:t>mates in correctional facilities</w:t>
      </w:r>
      <w:r w:rsidR="005C7AF3" w:rsidRPr="00CF29BB">
        <w:rPr>
          <w:rFonts w:ascii="Source Sans Pro" w:hAnsi="Source Sans Pro"/>
        </w:rPr>
        <w:t xml:space="preserve"> and </w:t>
      </w:r>
      <w:r w:rsidR="00EE0B29">
        <w:rPr>
          <w:rFonts w:ascii="Source Sans Pro" w:hAnsi="Source Sans Pro"/>
        </w:rPr>
        <w:t>special admit</w:t>
      </w:r>
      <w:r w:rsidR="005C7AF3" w:rsidRPr="00CF29BB">
        <w:rPr>
          <w:rFonts w:ascii="Source Sans Pro" w:hAnsi="Source Sans Pro"/>
        </w:rPr>
        <w:t xml:space="preserve"> students </w:t>
      </w:r>
      <w:r>
        <w:rPr>
          <w:rFonts w:ascii="Source Sans Pro" w:hAnsi="Source Sans Pro"/>
        </w:rPr>
        <w:t>from being</w:t>
      </w:r>
      <w:r w:rsidRPr="00CF29BB">
        <w:rPr>
          <w:rFonts w:ascii="Source Sans Pro" w:hAnsi="Source Sans Pro"/>
        </w:rPr>
        <w:t xml:space="preserve"> </w:t>
      </w:r>
      <w:r w:rsidR="005C7AF3" w:rsidRPr="00CF29BB">
        <w:rPr>
          <w:rFonts w:ascii="Source Sans Pro" w:hAnsi="Source Sans Pro"/>
        </w:rPr>
        <w:t xml:space="preserve">counted in the </w:t>
      </w:r>
      <w:r w:rsidR="00B53386" w:rsidRPr="00CF29BB">
        <w:rPr>
          <w:rFonts w:ascii="Source Sans Pro" w:hAnsi="Source Sans Pro"/>
        </w:rPr>
        <w:t>Supplemental Allocation</w:t>
      </w:r>
      <w:r w:rsidR="005C7AF3" w:rsidRPr="00CF29BB">
        <w:rPr>
          <w:rFonts w:ascii="Source Sans Pro" w:hAnsi="Source Sans Pro"/>
        </w:rPr>
        <w:t xml:space="preserve"> and </w:t>
      </w:r>
      <w:r w:rsidR="0002588D">
        <w:rPr>
          <w:rFonts w:ascii="Source Sans Pro" w:hAnsi="Source Sans Pro"/>
        </w:rPr>
        <w:t>in</w:t>
      </w:r>
      <w:r w:rsidR="005C7AF3" w:rsidRPr="00CF29BB">
        <w:rPr>
          <w:rFonts w:ascii="Source Sans Pro" w:hAnsi="Source Sans Pro"/>
        </w:rPr>
        <w:t xml:space="preserve"> most of the S</w:t>
      </w:r>
      <w:r w:rsidR="00E772FA">
        <w:rPr>
          <w:rFonts w:ascii="Source Sans Pro" w:hAnsi="Source Sans Pro"/>
        </w:rPr>
        <w:t>tudent S</w:t>
      </w:r>
      <w:r w:rsidR="005C7AF3" w:rsidRPr="00CF29BB">
        <w:rPr>
          <w:rFonts w:ascii="Source Sans Pro" w:hAnsi="Source Sans Pro"/>
        </w:rPr>
        <w:t xml:space="preserve">uccess Metrics. </w:t>
      </w:r>
      <w:r>
        <w:rPr>
          <w:rFonts w:ascii="Source Sans Pro" w:hAnsi="Source Sans Pro"/>
        </w:rPr>
        <w:t>Therefore, if applicable, a district w</w:t>
      </w:r>
      <w:r w:rsidR="0002588D">
        <w:rPr>
          <w:rFonts w:ascii="Source Sans Pro" w:hAnsi="Source Sans Pro"/>
        </w:rPr>
        <w:t>ill</w:t>
      </w:r>
      <w:r>
        <w:rPr>
          <w:rFonts w:ascii="Source Sans Pro" w:hAnsi="Source Sans Pro"/>
        </w:rPr>
        <w:t xml:space="preserve"> receive funding for their counts. For the count of the number of students who </w:t>
      </w:r>
      <w:r w:rsidRPr="00135FE5">
        <w:rPr>
          <w:rFonts w:ascii="Source Sans Pro" w:hAnsi="Source Sans Pro"/>
        </w:rPr>
        <w:t>complete</w:t>
      </w:r>
      <w:r w:rsidR="005C7AF3" w:rsidRPr="00135FE5">
        <w:rPr>
          <w:rFonts w:ascii="Source Sans Pro" w:hAnsi="Source Sans Pro"/>
        </w:rPr>
        <w:t xml:space="preserve"> </w:t>
      </w:r>
      <w:r w:rsidRPr="00135FE5">
        <w:rPr>
          <w:rFonts w:ascii="Source Sans Pro" w:hAnsi="Source Sans Pro"/>
        </w:rPr>
        <w:t>t</w:t>
      </w:r>
      <w:r w:rsidR="005C7AF3" w:rsidRPr="00135FE5">
        <w:rPr>
          <w:rFonts w:ascii="Source Sans Pro" w:hAnsi="Source Sans Pro"/>
        </w:rPr>
        <w:t>ransfer</w:t>
      </w:r>
      <w:r w:rsidRPr="00135FE5">
        <w:rPr>
          <w:rFonts w:ascii="Source Sans Pro" w:hAnsi="Source Sans Pro"/>
        </w:rPr>
        <w:t>-l</w:t>
      </w:r>
      <w:r w:rsidR="005C7AF3" w:rsidRPr="00135FE5">
        <w:rPr>
          <w:rFonts w:ascii="Source Sans Pro" w:hAnsi="Source Sans Pro"/>
        </w:rPr>
        <w:t>evel</w:t>
      </w:r>
      <w:r w:rsidR="005C7AF3" w:rsidRPr="00CF29BB">
        <w:rPr>
          <w:rFonts w:ascii="Source Sans Pro" w:hAnsi="Source Sans Pro"/>
        </w:rPr>
        <w:t xml:space="preserve"> English and </w:t>
      </w:r>
      <w:r w:rsidR="00E432A2">
        <w:rPr>
          <w:rFonts w:ascii="Source Sans Pro" w:hAnsi="Source Sans Pro"/>
        </w:rPr>
        <w:t>m</w:t>
      </w:r>
      <w:r w:rsidR="005C7AF3" w:rsidRPr="00CF29BB">
        <w:rPr>
          <w:rFonts w:ascii="Source Sans Pro" w:hAnsi="Source Sans Pro"/>
        </w:rPr>
        <w:t>ath in the first year</w:t>
      </w:r>
      <w:r w:rsidR="00AC6F86">
        <w:rPr>
          <w:rFonts w:ascii="Source Sans Pro" w:hAnsi="Source Sans Pro"/>
        </w:rPr>
        <w:t xml:space="preserve">, special admit students </w:t>
      </w:r>
      <w:r w:rsidR="0002588D">
        <w:rPr>
          <w:rFonts w:ascii="Source Sans Pro" w:hAnsi="Source Sans Pro"/>
        </w:rPr>
        <w:t>are</w:t>
      </w:r>
      <w:r w:rsidR="00AC6F86">
        <w:rPr>
          <w:rFonts w:ascii="Source Sans Pro" w:hAnsi="Source Sans Pro"/>
        </w:rPr>
        <w:t xml:space="preserve"> not counted</w:t>
      </w:r>
      <w:r w:rsidR="0002588D" w:rsidRPr="0002588D">
        <w:rPr>
          <w:rFonts w:ascii="Source Sans Pro" w:hAnsi="Source Sans Pro"/>
        </w:rPr>
        <w:t xml:space="preserve"> </w:t>
      </w:r>
      <w:r w:rsidR="0002588D">
        <w:rPr>
          <w:rFonts w:ascii="Source Sans Pro" w:hAnsi="Source Sans Pro"/>
        </w:rPr>
        <w:t>because</w:t>
      </w:r>
      <w:r w:rsidR="0002588D" w:rsidRPr="00CF29BB">
        <w:rPr>
          <w:rFonts w:ascii="Source Sans Pro" w:hAnsi="Source Sans Pro"/>
        </w:rPr>
        <w:t xml:space="preserve"> </w:t>
      </w:r>
      <w:r w:rsidR="0002588D">
        <w:rPr>
          <w:rFonts w:ascii="Source Sans Pro" w:hAnsi="Source Sans Pro"/>
        </w:rPr>
        <w:t xml:space="preserve">the statute specifies that a district is funded based on counts of students who complete </w:t>
      </w:r>
      <w:r w:rsidR="00E030DC">
        <w:rPr>
          <w:rFonts w:ascii="Source Sans Pro" w:hAnsi="Source Sans Pro"/>
        </w:rPr>
        <w:t xml:space="preserve">those courses </w:t>
      </w:r>
      <w:r w:rsidR="0002588D">
        <w:rPr>
          <w:rFonts w:ascii="Source Sans Pro" w:hAnsi="Source Sans Pro"/>
        </w:rPr>
        <w:t xml:space="preserve">within the first </w:t>
      </w:r>
      <w:r w:rsidR="00E030DC">
        <w:rPr>
          <w:rFonts w:ascii="Source Sans Pro" w:hAnsi="Source Sans Pro"/>
        </w:rPr>
        <w:t xml:space="preserve">academic </w:t>
      </w:r>
      <w:r w:rsidR="0002588D">
        <w:rPr>
          <w:rFonts w:ascii="Source Sans Pro" w:hAnsi="Source Sans Pro"/>
        </w:rPr>
        <w:t>year of enrollment</w:t>
      </w:r>
      <w:r w:rsidR="005C7AF3" w:rsidRPr="00CF29BB">
        <w:rPr>
          <w:rFonts w:ascii="Source Sans Pro" w:hAnsi="Source Sans Pro"/>
        </w:rPr>
        <w:t>.</w:t>
      </w:r>
      <w:r w:rsidR="007A61BE" w:rsidRPr="00CF29BB">
        <w:rPr>
          <w:rFonts w:ascii="Source Sans Pro" w:hAnsi="Source Sans Pro"/>
          <w:b/>
        </w:rPr>
        <w:t xml:space="preserve"> </w:t>
      </w:r>
      <w:bookmarkStart w:id="28" w:name="_Toc518053136"/>
    </w:p>
    <w:p w14:paraId="71F52D39" w14:textId="77777777" w:rsidR="007A61BE" w:rsidRPr="00CF29BB" w:rsidRDefault="007A61BE" w:rsidP="00023975">
      <w:pPr>
        <w:pStyle w:val="Heading2"/>
        <w:ind w:left="547" w:hanging="547"/>
      </w:pPr>
      <w:r w:rsidRPr="00CF29BB">
        <w:rPr>
          <w:rFonts w:eastAsia="Calibri"/>
        </w:rPr>
        <w:t>How will summer enrollments be counted?</w:t>
      </w:r>
      <w:bookmarkEnd w:id="28"/>
      <w:r w:rsidRPr="00CF29BB">
        <w:rPr>
          <w:rFonts w:eastAsia="Calibri"/>
        </w:rPr>
        <w:t xml:space="preserve"> </w:t>
      </w:r>
    </w:p>
    <w:p w14:paraId="65D4C569" w14:textId="77777777" w:rsidR="00023975" w:rsidRDefault="007A61BE" w:rsidP="00023975">
      <w:pPr>
        <w:ind w:left="499" w:right="0"/>
        <w:rPr>
          <w:rFonts w:ascii="Source Sans Pro" w:hAnsi="Source Sans Pro"/>
        </w:rPr>
      </w:pPr>
      <w:r w:rsidRPr="00CF29BB">
        <w:rPr>
          <w:rFonts w:ascii="Source Sans Pro" w:hAnsi="Source Sans Pro"/>
        </w:rPr>
        <w:t>Summer enrollments will be counted the same way they</w:t>
      </w:r>
      <w:r w:rsidR="00E030DC">
        <w:rPr>
          <w:rFonts w:ascii="Source Sans Pro" w:hAnsi="Source Sans Pro"/>
        </w:rPr>
        <w:t xml:space="preserve"> </w:t>
      </w:r>
      <w:r w:rsidR="0002588D">
        <w:rPr>
          <w:rFonts w:ascii="Source Sans Pro" w:hAnsi="Source Sans Pro"/>
        </w:rPr>
        <w:t>were</w:t>
      </w:r>
      <w:r w:rsidRPr="00CF29BB">
        <w:rPr>
          <w:rFonts w:ascii="Source Sans Pro" w:hAnsi="Source Sans Pro"/>
        </w:rPr>
        <w:t xml:space="preserve"> in the </w:t>
      </w:r>
      <w:r w:rsidR="00B53386" w:rsidRPr="00CF29BB">
        <w:rPr>
          <w:rFonts w:ascii="Source Sans Pro" w:hAnsi="Source Sans Pro"/>
        </w:rPr>
        <w:t>former</w:t>
      </w:r>
      <w:r w:rsidRPr="00CF29BB">
        <w:rPr>
          <w:rFonts w:ascii="Source Sans Pro" w:hAnsi="Source Sans Pro"/>
        </w:rPr>
        <w:t xml:space="preserve"> funding formula. </w:t>
      </w:r>
      <w:r w:rsidR="00AC6F86">
        <w:rPr>
          <w:rFonts w:ascii="Source Sans Pro" w:hAnsi="Source Sans Pro"/>
        </w:rPr>
        <w:t>District</w:t>
      </w:r>
      <w:r w:rsidR="00C54FE2">
        <w:rPr>
          <w:rFonts w:ascii="Source Sans Pro" w:hAnsi="Source Sans Pro"/>
        </w:rPr>
        <w:t>s</w:t>
      </w:r>
      <w:r w:rsidR="00F12F24">
        <w:rPr>
          <w:rFonts w:ascii="Source Sans Pro" w:hAnsi="Source Sans Pro"/>
        </w:rPr>
        <w:t xml:space="preserve"> may count enrollment in summer intersession courses that overlap fiscal years either in the fiscal year </w:t>
      </w:r>
      <w:r w:rsidR="00F12F24">
        <w:rPr>
          <w:rFonts w:ascii="Source Sans Pro" w:hAnsi="Source Sans Pro"/>
        </w:rPr>
        <w:lastRenderedPageBreak/>
        <w:t xml:space="preserve">in which the </w:t>
      </w:r>
      <w:r w:rsidR="00DF5890">
        <w:rPr>
          <w:rFonts w:ascii="Source Sans Pro" w:hAnsi="Source Sans Pro"/>
        </w:rPr>
        <w:t>census day procedure is completed</w:t>
      </w:r>
      <w:r w:rsidR="00F12F24">
        <w:rPr>
          <w:rFonts w:ascii="Source Sans Pro" w:hAnsi="Source Sans Pro"/>
        </w:rPr>
        <w:t xml:space="preserve"> or in the fiscal year in which the course ends</w:t>
      </w:r>
      <w:r w:rsidR="00E52673">
        <w:rPr>
          <w:rFonts w:ascii="Source Sans Pro" w:hAnsi="Source Sans Pro"/>
        </w:rPr>
        <w:t xml:space="preserve"> (Title 5 Section 58010)</w:t>
      </w:r>
      <w:r w:rsidR="00F12F24">
        <w:rPr>
          <w:rFonts w:ascii="Source Sans Pro" w:hAnsi="Source Sans Pro"/>
        </w:rPr>
        <w:t>.</w:t>
      </w:r>
      <w:r w:rsidR="00AC6F86" w:rsidDel="00AC6F86">
        <w:rPr>
          <w:rFonts w:ascii="Source Sans Pro" w:hAnsi="Source Sans Pro"/>
        </w:rPr>
        <w:t xml:space="preserve"> </w:t>
      </w:r>
      <w:bookmarkStart w:id="29" w:name="_Toc518053138"/>
    </w:p>
    <w:p w14:paraId="2EA647F4" w14:textId="77777777" w:rsidR="007A61BE" w:rsidRPr="00023975" w:rsidRDefault="007A61BE" w:rsidP="00023975">
      <w:pPr>
        <w:pStyle w:val="Heading2"/>
        <w:ind w:left="547" w:hanging="547"/>
      </w:pPr>
      <w:r w:rsidRPr="00023975">
        <w:rPr>
          <w:rFonts w:eastAsia="Calibri"/>
        </w:rPr>
        <w:t xml:space="preserve">If there is a deficit factor, do </w:t>
      </w:r>
      <w:r w:rsidR="00B53386" w:rsidRPr="00023975">
        <w:rPr>
          <w:rFonts w:eastAsia="Calibri"/>
        </w:rPr>
        <w:t>districts</w:t>
      </w:r>
      <w:r w:rsidRPr="00023975">
        <w:rPr>
          <w:rFonts w:eastAsia="Calibri"/>
        </w:rPr>
        <w:t xml:space="preserve"> get it funded the next year?</w:t>
      </w:r>
      <w:bookmarkEnd w:id="29"/>
      <w:r w:rsidRPr="00023975">
        <w:rPr>
          <w:rFonts w:eastAsia="Calibri"/>
        </w:rPr>
        <w:t xml:space="preserve"> </w:t>
      </w:r>
    </w:p>
    <w:p w14:paraId="3C232A51" w14:textId="77777777" w:rsidR="00C54FE2" w:rsidRDefault="009E0239" w:rsidP="0040658D">
      <w:pPr>
        <w:spacing w:after="154"/>
        <w:ind w:left="499" w:right="0"/>
        <w:rPr>
          <w:rFonts w:ascii="Source Sans Pro" w:hAnsi="Source Sans Pro"/>
        </w:rPr>
      </w:pPr>
      <w:r>
        <w:rPr>
          <w:rFonts w:ascii="Source Sans Pro" w:hAnsi="Source Sans Pro"/>
        </w:rPr>
        <w:t>The Chancellor’s Office intends to request funding to administer the SCFF as described. Further, the SCFF Oversight Committee will be evaluating options for the Governor and the Legislature to consider for funding during a recession.</w:t>
      </w:r>
    </w:p>
    <w:p w14:paraId="2C1B34A0" w14:textId="77777777" w:rsidR="007A61BE" w:rsidRPr="00CF29BB" w:rsidRDefault="00B53386" w:rsidP="007A61BE">
      <w:pPr>
        <w:pStyle w:val="Heading1"/>
        <w:ind w:left="-5"/>
        <w:rPr>
          <w:rFonts w:ascii="Source Sans Pro" w:hAnsi="Source Sans Pro"/>
          <w:color w:val="002F6D"/>
        </w:rPr>
      </w:pPr>
      <w:bookmarkStart w:id="30" w:name="_Toc536798193"/>
      <w:r w:rsidRPr="00CF29BB">
        <w:rPr>
          <w:rFonts w:ascii="Source Sans Pro" w:hAnsi="Source Sans Pro"/>
          <w:color w:val="002F6D"/>
        </w:rPr>
        <w:t>Supplemental Allocation</w:t>
      </w:r>
      <w:bookmarkEnd w:id="30"/>
      <w:r w:rsidR="007A61BE" w:rsidRPr="00CF29BB">
        <w:rPr>
          <w:rFonts w:ascii="Source Sans Pro" w:hAnsi="Source Sans Pro"/>
          <w:color w:val="002F6D"/>
        </w:rPr>
        <w:t xml:space="preserve"> </w:t>
      </w:r>
    </w:p>
    <w:p w14:paraId="2ABEB7BE" w14:textId="77777777" w:rsidR="007A61BE" w:rsidRPr="00CF29BB" w:rsidRDefault="007A61BE" w:rsidP="007A61BE">
      <w:pPr>
        <w:pStyle w:val="Heading2"/>
      </w:pPr>
      <w:bookmarkStart w:id="31" w:name="_Toc518053140"/>
      <w:r w:rsidRPr="00CF29BB">
        <w:rPr>
          <w:rFonts w:eastAsia="Calibri"/>
        </w:rPr>
        <w:t xml:space="preserve">How is the </w:t>
      </w:r>
      <w:r w:rsidR="00B53386" w:rsidRPr="00CF29BB">
        <w:rPr>
          <w:rFonts w:eastAsia="Calibri"/>
        </w:rPr>
        <w:t>Supplemental Allocation</w:t>
      </w:r>
      <w:r w:rsidRPr="00CF29BB">
        <w:rPr>
          <w:rFonts w:eastAsia="Calibri"/>
        </w:rPr>
        <w:t xml:space="preserve"> calculated?</w:t>
      </w:r>
      <w:bookmarkEnd w:id="31"/>
      <w:r w:rsidRPr="00CF29BB">
        <w:rPr>
          <w:rFonts w:eastAsia="Calibri"/>
        </w:rPr>
        <w:t xml:space="preserve"> </w:t>
      </w:r>
    </w:p>
    <w:p w14:paraId="719BB0CA" w14:textId="77777777" w:rsidR="007A61BE" w:rsidRPr="00CF29BB" w:rsidRDefault="007A61BE" w:rsidP="007A61BE">
      <w:pPr>
        <w:ind w:left="499" w:right="0"/>
        <w:rPr>
          <w:rFonts w:ascii="Source Sans Pro" w:hAnsi="Source Sans Pro"/>
        </w:rPr>
      </w:pPr>
      <w:r w:rsidRPr="00CF29BB">
        <w:rPr>
          <w:rFonts w:ascii="Source Sans Pro" w:hAnsi="Source Sans Pro"/>
        </w:rPr>
        <w:t xml:space="preserve">For </w:t>
      </w:r>
      <w:r w:rsidR="000220FE">
        <w:rPr>
          <w:rFonts w:ascii="Source Sans Pro" w:hAnsi="Source Sans Pro"/>
        </w:rPr>
        <w:t>2018-19</w:t>
      </w:r>
      <w:r w:rsidRPr="00CF29BB">
        <w:rPr>
          <w:rFonts w:ascii="Source Sans Pro" w:hAnsi="Source Sans Pro"/>
        </w:rPr>
        <w:t xml:space="preserve">, </w:t>
      </w:r>
      <w:r w:rsidR="00AC6F86">
        <w:rPr>
          <w:rFonts w:ascii="Source Sans Pro" w:hAnsi="Source Sans Pro"/>
        </w:rPr>
        <w:t>Pell Grant recipients, College Promise Grant recipients, and AB 540 students</w:t>
      </w:r>
      <w:r w:rsidRPr="00CF29BB">
        <w:rPr>
          <w:rFonts w:ascii="Source Sans Pro" w:hAnsi="Source Sans Pro"/>
        </w:rPr>
        <w:t xml:space="preserve"> are funded at a rate of $919 per student. </w:t>
      </w:r>
      <w:r w:rsidR="00AC6F86">
        <w:rPr>
          <w:rFonts w:ascii="Source Sans Pro" w:hAnsi="Source Sans Pro"/>
        </w:rPr>
        <w:t>In future years, the rate w</w:t>
      </w:r>
      <w:r w:rsidR="0002588D">
        <w:rPr>
          <w:rFonts w:ascii="Source Sans Pro" w:hAnsi="Source Sans Pro"/>
        </w:rPr>
        <w:t>ill</w:t>
      </w:r>
      <w:r w:rsidR="00AC6F86">
        <w:rPr>
          <w:rFonts w:ascii="Source Sans Pro" w:hAnsi="Source Sans Pro"/>
        </w:rPr>
        <w:t xml:space="preserve"> be adjusted by changes in the cost of living.</w:t>
      </w:r>
      <w:r w:rsidRPr="00CF29BB">
        <w:rPr>
          <w:rFonts w:ascii="Source Sans Pro" w:hAnsi="Source Sans Pro"/>
        </w:rPr>
        <w:t xml:space="preserve">  </w:t>
      </w:r>
    </w:p>
    <w:p w14:paraId="7CDA1B22" w14:textId="77777777" w:rsidR="007A61BE" w:rsidRPr="00CF29BB" w:rsidRDefault="007A61BE" w:rsidP="007A61BE">
      <w:pPr>
        <w:pStyle w:val="Heading2"/>
      </w:pPr>
      <w:bookmarkStart w:id="32" w:name="_Toc518053142"/>
      <w:r w:rsidRPr="00CF29BB">
        <w:rPr>
          <w:rFonts w:eastAsia="Calibri"/>
        </w:rPr>
        <w:t>How were the rates determined?</w:t>
      </w:r>
      <w:bookmarkEnd w:id="32"/>
      <w:r w:rsidRPr="00CF29BB">
        <w:rPr>
          <w:rFonts w:eastAsia="Calibri"/>
        </w:rPr>
        <w:t xml:space="preserve"> </w:t>
      </w:r>
    </w:p>
    <w:p w14:paraId="564FDAF7" w14:textId="77777777" w:rsidR="007A61BE" w:rsidRPr="00CF29BB" w:rsidRDefault="00AC6F86" w:rsidP="007A61BE">
      <w:pPr>
        <w:ind w:left="499" w:right="0"/>
        <w:rPr>
          <w:rFonts w:ascii="Source Sans Pro" w:hAnsi="Source Sans Pro"/>
        </w:rPr>
      </w:pPr>
      <w:r>
        <w:rPr>
          <w:rFonts w:ascii="Source Sans Pro" w:hAnsi="Source Sans Pro"/>
        </w:rPr>
        <w:t>The SCFF</w:t>
      </w:r>
      <w:r w:rsidR="00F35274">
        <w:rPr>
          <w:rFonts w:ascii="Source Sans Pro" w:hAnsi="Source Sans Pro"/>
        </w:rPr>
        <w:t xml:space="preserve"> was designed</w:t>
      </w:r>
      <w:r>
        <w:rPr>
          <w:rFonts w:ascii="Source Sans Pro" w:hAnsi="Source Sans Pro"/>
        </w:rPr>
        <w:t xml:space="preserve"> s</w:t>
      </w:r>
      <w:r w:rsidR="003F0F67">
        <w:rPr>
          <w:rFonts w:ascii="Source Sans Pro" w:hAnsi="Source Sans Pro"/>
        </w:rPr>
        <w:t>o</w:t>
      </w:r>
      <w:r>
        <w:rPr>
          <w:rFonts w:ascii="Source Sans Pro" w:hAnsi="Source Sans Pro"/>
        </w:rPr>
        <w:t xml:space="preserve"> that about 20 percent of the funds spent on the formula </w:t>
      </w:r>
      <w:r w:rsidR="003F0F67">
        <w:rPr>
          <w:rFonts w:ascii="Source Sans Pro" w:hAnsi="Source Sans Pro"/>
        </w:rPr>
        <w:t>will</w:t>
      </w:r>
      <w:r>
        <w:rPr>
          <w:rFonts w:ascii="Source Sans Pro" w:hAnsi="Source Sans Pro"/>
        </w:rPr>
        <w:t xml:space="preserve"> be allocated in the Supplemental Allocation. That total amount was divided by an estimate of the number of Pell Grant recipients, College Promise Grant recipients, and AB 540 students likely to be funded. That calcul</w:t>
      </w:r>
      <w:r w:rsidR="003F0F67">
        <w:rPr>
          <w:rFonts w:ascii="Source Sans Pro" w:hAnsi="Source Sans Pro"/>
        </w:rPr>
        <w:t>ation</w:t>
      </w:r>
      <w:r>
        <w:rPr>
          <w:rFonts w:ascii="Source Sans Pro" w:hAnsi="Source Sans Pro"/>
        </w:rPr>
        <w:t xml:space="preserve"> determined the per-count rate.</w:t>
      </w:r>
      <w:r w:rsidR="007A61BE" w:rsidRPr="00CF29BB">
        <w:rPr>
          <w:rFonts w:ascii="Source Sans Pro" w:hAnsi="Source Sans Pro"/>
        </w:rPr>
        <w:t xml:space="preserve"> </w:t>
      </w:r>
    </w:p>
    <w:p w14:paraId="50901A0F" w14:textId="77777777" w:rsidR="007A61BE" w:rsidRPr="00CF29BB" w:rsidRDefault="007A61BE" w:rsidP="007A61BE">
      <w:pPr>
        <w:pStyle w:val="Heading2"/>
      </w:pPr>
      <w:bookmarkStart w:id="33" w:name="_Toc518053143"/>
      <w:r w:rsidRPr="00CF29BB">
        <w:rPr>
          <w:rFonts w:eastAsia="Calibri"/>
        </w:rPr>
        <w:t xml:space="preserve">What is the data source for the </w:t>
      </w:r>
      <w:r w:rsidR="00B53386" w:rsidRPr="00CF29BB">
        <w:rPr>
          <w:rFonts w:eastAsia="Calibri"/>
        </w:rPr>
        <w:t>Supplemental Allocation</w:t>
      </w:r>
      <w:r w:rsidRPr="00CF29BB">
        <w:rPr>
          <w:rFonts w:eastAsia="Calibri"/>
        </w:rPr>
        <w:t>?</w:t>
      </w:r>
      <w:bookmarkEnd w:id="33"/>
      <w:r w:rsidRPr="00CF29BB">
        <w:rPr>
          <w:rFonts w:eastAsia="Calibri"/>
        </w:rPr>
        <w:t xml:space="preserve"> </w:t>
      </w:r>
    </w:p>
    <w:p w14:paraId="4344939B" w14:textId="77777777" w:rsidR="00DF7CDF" w:rsidRPr="00CF29BB" w:rsidRDefault="00AC6F86" w:rsidP="00DF7CDF">
      <w:pPr>
        <w:ind w:left="499" w:right="0"/>
        <w:rPr>
          <w:rFonts w:ascii="Source Sans Pro" w:hAnsi="Source Sans Pro"/>
        </w:rPr>
      </w:pPr>
      <w:r>
        <w:rPr>
          <w:rFonts w:ascii="Source Sans Pro" w:hAnsi="Source Sans Pro"/>
        </w:rPr>
        <w:t xml:space="preserve">All of the data is based on district submittals. </w:t>
      </w:r>
      <w:r w:rsidR="007A61BE" w:rsidRPr="00CF29BB">
        <w:rPr>
          <w:rFonts w:ascii="Source Sans Pro" w:hAnsi="Source Sans Pro"/>
        </w:rPr>
        <w:t xml:space="preserve">The data source for </w:t>
      </w:r>
      <w:r>
        <w:rPr>
          <w:rFonts w:ascii="Source Sans Pro" w:hAnsi="Source Sans Pro"/>
        </w:rPr>
        <w:t xml:space="preserve">counts of </w:t>
      </w:r>
      <w:r w:rsidR="007A61BE" w:rsidRPr="00CF29BB">
        <w:rPr>
          <w:rFonts w:ascii="Source Sans Pro" w:hAnsi="Source Sans Pro"/>
        </w:rPr>
        <w:t xml:space="preserve">Pell </w:t>
      </w:r>
      <w:r>
        <w:rPr>
          <w:rFonts w:ascii="Source Sans Pro" w:hAnsi="Source Sans Pro"/>
        </w:rPr>
        <w:t xml:space="preserve">Grant recipients </w:t>
      </w:r>
      <w:r w:rsidR="007A61BE" w:rsidRPr="00CF29BB">
        <w:rPr>
          <w:rFonts w:ascii="Source Sans Pro" w:hAnsi="Source Sans Pro"/>
        </w:rPr>
        <w:t xml:space="preserve">and </w:t>
      </w:r>
      <w:r>
        <w:rPr>
          <w:rFonts w:ascii="Source Sans Pro" w:hAnsi="Source Sans Pro"/>
        </w:rPr>
        <w:t xml:space="preserve">College </w:t>
      </w:r>
      <w:r w:rsidR="007A61BE" w:rsidRPr="00CF29BB">
        <w:rPr>
          <w:rFonts w:ascii="Source Sans Pro" w:hAnsi="Source Sans Pro"/>
        </w:rPr>
        <w:t xml:space="preserve">Promise Grant </w:t>
      </w:r>
      <w:r w:rsidRPr="00793F62">
        <w:rPr>
          <w:rFonts w:ascii="Source Sans Pro" w:hAnsi="Source Sans Pro"/>
        </w:rPr>
        <w:t xml:space="preserve">recipients </w:t>
      </w:r>
      <w:r w:rsidR="007A61BE" w:rsidRPr="00793F62">
        <w:rPr>
          <w:rFonts w:ascii="Source Sans Pro" w:hAnsi="Source Sans Pro"/>
        </w:rPr>
        <w:t>is the</w:t>
      </w:r>
      <w:r w:rsidR="004F6153" w:rsidRPr="00793F62">
        <w:rPr>
          <w:rFonts w:ascii="Source Sans Pro" w:hAnsi="Source Sans Pro"/>
        </w:rPr>
        <w:t xml:space="preserve"> Chancellor’s Office’s Management Information System (MIS)</w:t>
      </w:r>
      <w:r w:rsidR="0005186D" w:rsidRPr="00793F62">
        <w:rPr>
          <w:rFonts w:ascii="Source Sans Pro" w:hAnsi="Source Sans Pro"/>
        </w:rPr>
        <w:t xml:space="preserve"> Data Mart. </w:t>
      </w:r>
      <w:r w:rsidR="007A61BE" w:rsidRPr="00793F62">
        <w:rPr>
          <w:rFonts w:ascii="Source Sans Pro" w:hAnsi="Source Sans Pro"/>
        </w:rPr>
        <w:t>The data source for the AB</w:t>
      </w:r>
      <w:r w:rsidRPr="00793F62">
        <w:rPr>
          <w:rFonts w:ascii="Source Sans Pro" w:hAnsi="Source Sans Pro"/>
        </w:rPr>
        <w:t xml:space="preserve"> </w:t>
      </w:r>
      <w:r w:rsidR="007A61BE" w:rsidRPr="00793F62">
        <w:rPr>
          <w:rFonts w:ascii="Source Sans Pro" w:hAnsi="Source Sans Pro"/>
        </w:rPr>
        <w:t>540 students i</w:t>
      </w:r>
      <w:r w:rsidR="007A61BE" w:rsidRPr="00CF29BB">
        <w:rPr>
          <w:rFonts w:ascii="Source Sans Pro" w:hAnsi="Source Sans Pro"/>
        </w:rPr>
        <w:t>s the Chancellor’s Office 320 Attendance Reports.</w:t>
      </w:r>
      <w:bookmarkStart w:id="34" w:name="_Toc518053144"/>
    </w:p>
    <w:p w14:paraId="38DF7933" w14:textId="77777777" w:rsidR="007A61BE" w:rsidRPr="00CF29BB" w:rsidRDefault="007A61BE" w:rsidP="00DF7CDF">
      <w:pPr>
        <w:pStyle w:val="Heading2"/>
        <w:rPr>
          <w:rStyle w:val="Heading2Char"/>
          <w:rFonts w:eastAsia="Calibri" w:cs="Calibri"/>
          <w:color w:val="000000"/>
          <w:sz w:val="22"/>
          <w:szCs w:val="22"/>
        </w:rPr>
      </w:pPr>
      <w:r w:rsidRPr="00CF29BB">
        <w:rPr>
          <w:rStyle w:val="Heading2Char"/>
        </w:rPr>
        <w:t>What is the rationale behind choosing</w:t>
      </w:r>
      <w:r w:rsidR="00AC6F86">
        <w:rPr>
          <w:rStyle w:val="Heading2Char"/>
        </w:rPr>
        <w:t xml:space="preserve"> counts of</w:t>
      </w:r>
      <w:r w:rsidRPr="00CF29BB">
        <w:rPr>
          <w:rStyle w:val="Heading2Char"/>
        </w:rPr>
        <w:t xml:space="preserve"> </w:t>
      </w:r>
      <w:r w:rsidR="00AC6F86">
        <w:rPr>
          <w:rStyle w:val="Heading2Char"/>
        </w:rPr>
        <w:t>Pell Grant recipients, College Promise Grant recipients, and AB 540 students</w:t>
      </w:r>
      <w:r w:rsidRPr="00CF29BB">
        <w:rPr>
          <w:rStyle w:val="Heading2Char"/>
        </w:rPr>
        <w:t xml:space="preserve"> as measures of equity?</w:t>
      </w:r>
      <w:bookmarkEnd w:id="34"/>
      <w:r w:rsidRPr="00CF29BB">
        <w:rPr>
          <w:rStyle w:val="Heading2Char"/>
        </w:rPr>
        <w:t xml:space="preserve"> </w:t>
      </w:r>
    </w:p>
    <w:p w14:paraId="703975D6" w14:textId="77777777" w:rsidR="007A61BE" w:rsidRPr="00CF29BB" w:rsidRDefault="00AC6F86" w:rsidP="007A61BE">
      <w:pPr>
        <w:ind w:left="499" w:right="0"/>
        <w:rPr>
          <w:rFonts w:ascii="Source Sans Pro" w:hAnsi="Source Sans Pro"/>
          <w:i/>
        </w:rPr>
      </w:pPr>
      <w:r>
        <w:rPr>
          <w:rFonts w:ascii="Source Sans Pro" w:hAnsi="Source Sans Pro"/>
        </w:rPr>
        <w:t>Evidence suggests that low-income students face barriers to access and success in community colleges and that undocumented students face even higher barriers. The SCFF recognize</w:t>
      </w:r>
      <w:r w:rsidR="00446F5C">
        <w:rPr>
          <w:rFonts w:ascii="Source Sans Pro" w:hAnsi="Source Sans Pro"/>
        </w:rPr>
        <w:t>s</w:t>
      </w:r>
      <w:r>
        <w:rPr>
          <w:rFonts w:ascii="Source Sans Pro" w:hAnsi="Source Sans Pro"/>
        </w:rPr>
        <w:t xml:space="preserve"> that districts must provide more intensive services to address their students’ needs.</w:t>
      </w:r>
    </w:p>
    <w:p w14:paraId="676A8A8D" w14:textId="77777777" w:rsidR="00411013" w:rsidRPr="00CF29BB" w:rsidRDefault="00411013" w:rsidP="007A61BE">
      <w:pPr>
        <w:pStyle w:val="Heading2"/>
      </w:pPr>
      <w:bookmarkStart w:id="35" w:name="_Hlk527728441"/>
      <w:bookmarkStart w:id="36" w:name="_Toc518053145"/>
      <w:r w:rsidRPr="00CF29BB">
        <w:t xml:space="preserve">Are </w:t>
      </w:r>
      <w:r w:rsidR="00AC6F86">
        <w:t>s</w:t>
      </w:r>
      <w:r w:rsidR="00AC6F86" w:rsidRPr="00CF29BB">
        <w:t xml:space="preserve">upplemental </w:t>
      </w:r>
      <w:r w:rsidRPr="00CF29BB">
        <w:t xml:space="preserve">points awarded for Pell </w:t>
      </w:r>
      <w:r w:rsidR="00AC6F86">
        <w:t>G</w:t>
      </w:r>
      <w:r w:rsidR="00AC6F86" w:rsidRPr="00CF29BB">
        <w:t xml:space="preserve">rant </w:t>
      </w:r>
      <w:r w:rsidRPr="00CF29BB">
        <w:t xml:space="preserve">recipients or for Pell </w:t>
      </w:r>
      <w:r w:rsidR="00AC6F86">
        <w:t>G</w:t>
      </w:r>
      <w:r w:rsidR="00AC6F86" w:rsidRPr="00CF29BB">
        <w:t>rant</w:t>
      </w:r>
      <w:r w:rsidR="00AC6F86">
        <w:t>-</w:t>
      </w:r>
      <w:r w:rsidRPr="00CF29BB">
        <w:t>eligible student</w:t>
      </w:r>
      <w:r w:rsidR="00AC6F86">
        <w:t>s</w:t>
      </w:r>
      <w:r w:rsidRPr="00CF29BB">
        <w:t>?</w:t>
      </w:r>
      <w:bookmarkEnd w:id="35"/>
    </w:p>
    <w:p w14:paraId="7D522E24" w14:textId="77777777" w:rsidR="00B00115" w:rsidRPr="00CF29BB" w:rsidRDefault="00B00115" w:rsidP="00AC6F86">
      <w:pPr>
        <w:rPr>
          <w:rFonts w:ascii="Source Sans Pro" w:hAnsi="Source Sans Pro"/>
        </w:rPr>
      </w:pPr>
      <w:r w:rsidRPr="00CF29BB">
        <w:rPr>
          <w:rFonts w:ascii="Source Sans Pro" w:hAnsi="Source Sans Pro"/>
        </w:rPr>
        <w:t xml:space="preserve">The </w:t>
      </w:r>
      <w:r w:rsidR="00B53386" w:rsidRPr="00CF29BB">
        <w:rPr>
          <w:rFonts w:ascii="Source Sans Pro" w:hAnsi="Source Sans Pro"/>
        </w:rPr>
        <w:t>S</w:t>
      </w:r>
      <w:r w:rsidRPr="00CF29BB">
        <w:rPr>
          <w:rFonts w:ascii="Source Sans Pro" w:hAnsi="Source Sans Pro"/>
        </w:rPr>
        <w:t xml:space="preserve">upplemental </w:t>
      </w:r>
      <w:r w:rsidR="00B53386" w:rsidRPr="00CF29BB">
        <w:rPr>
          <w:rFonts w:ascii="Source Sans Pro" w:hAnsi="Source Sans Pro"/>
        </w:rPr>
        <w:t xml:space="preserve">Allocation </w:t>
      </w:r>
      <w:r w:rsidRPr="00CF29BB">
        <w:rPr>
          <w:rFonts w:ascii="Source Sans Pro" w:hAnsi="Source Sans Pro"/>
        </w:rPr>
        <w:t>metrics are awarded based on students being Pell Grant or Promise grant recipients</w:t>
      </w:r>
      <w:r w:rsidR="00AC6F86">
        <w:rPr>
          <w:rFonts w:ascii="Source Sans Pro" w:hAnsi="Source Sans Pro"/>
        </w:rPr>
        <w:t>—</w:t>
      </w:r>
      <w:r w:rsidRPr="00CF29BB">
        <w:rPr>
          <w:rFonts w:ascii="Source Sans Pro" w:hAnsi="Source Sans Pro"/>
        </w:rPr>
        <w:t>not for just being qualified to receive those awards. The Chancellor’s Office hopes that this will provide incentives for districts to work with students and help them receive all the funding for which they are eligible.</w:t>
      </w:r>
    </w:p>
    <w:p w14:paraId="54C122FF" w14:textId="77777777" w:rsidR="00B00115" w:rsidRPr="00CF29BB" w:rsidRDefault="00B00115" w:rsidP="007A61BE">
      <w:pPr>
        <w:pStyle w:val="Heading2"/>
      </w:pPr>
      <w:r w:rsidRPr="00CF29BB">
        <w:t>Can students be counted</w:t>
      </w:r>
      <w:r w:rsidR="00AC6F86">
        <w:t xml:space="preserve"> multiple times</w:t>
      </w:r>
      <w:r w:rsidRPr="00CF29BB">
        <w:t xml:space="preserve"> if they are a Pell recipient, </w:t>
      </w:r>
      <w:r w:rsidR="00AC6F86">
        <w:t>a College</w:t>
      </w:r>
      <w:r w:rsidR="00AC6F86" w:rsidRPr="00CF29BB">
        <w:t xml:space="preserve"> </w:t>
      </w:r>
      <w:r w:rsidRPr="00CF29BB">
        <w:t xml:space="preserve">Promise Grant recipient, and </w:t>
      </w:r>
      <w:r w:rsidR="00AC6F86">
        <w:t>an</w:t>
      </w:r>
      <w:r w:rsidRPr="00CF29BB">
        <w:t xml:space="preserve"> AB</w:t>
      </w:r>
      <w:r w:rsidR="00AC6F86">
        <w:t xml:space="preserve"> </w:t>
      </w:r>
      <w:r w:rsidRPr="00CF29BB">
        <w:t>540</w:t>
      </w:r>
      <w:r w:rsidR="00AC6F86">
        <w:t xml:space="preserve"> student</w:t>
      </w:r>
      <w:r w:rsidRPr="00CF29BB">
        <w:t>?</w:t>
      </w:r>
    </w:p>
    <w:p w14:paraId="10687DA9" w14:textId="77777777" w:rsidR="00B00115" w:rsidRPr="00CF29BB" w:rsidRDefault="00AC6F86" w:rsidP="00B00115">
      <w:pPr>
        <w:rPr>
          <w:rFonts w:ascii="Source Sans Pro" w:hAnsi="Source Sans Pro"/>
        </w:rPr>
      </w:pPr>
      <w:r>
        <w:rPr>
          <w:rFonts w:ascii="Source Sans Pro" w:hAnsi="Source Sans Pro"/>
        </w:rPr>
        <w:t>If</w:t>
      </w:r>
      <w:r w:rsidR="00B00115" w:rsidRPr="00CF29BB">
        <w:rPr>
          <w:rFonts w:ascii="Source Sans Pro" w:hAnsi="Source Sans Pro"/>
        </w:rPr>
        <w:t xml:space="preserve"> a student falls in more than one of the categories</w:t>
      </w:r>
      <w:r w:rsidR="009D2B10" w:rsidRPr="00CF29BB">
        <w:rPr>
          <w:rFonts w:ascii="Source Sans Pro" w:hAnsi="Source Sans Pro"/>
        </w:rPr>
        <w:t>,</w:t>
      </w:r>
      <w:r w:rsidR="00B00115" w:rsidRPr="00CF29BB">
        <w:rPr>
          <w:rFonts w:ascii="Source Sans Pro" w:hAnsi="Source Sans Pro"/>
        </w:rPr>
        <w:t xml:space="preserve"> the district w</w:t>
      </w:r>
      <w:r w:rsidR="003F0F67">
        <w:rPr>
          <w:rFonts w:ascii="Source Sans Pro" w:hAnsi="Source Sans Pro"/>
        </w:rPr>
        <w:t>ill</w:t>
      </w:r>
      <w:r w:rsidR="00B00115" w:rsidRPr="00CF29BB">
        <w:rPr>
          <w:rFonts w:ascii="Source Sans Pro" w:hAnsi="Source Sans Pro"/>
        </w:rPr>
        <w:t xml:space="preserve"> receive funding for the student </w:t>
      </w:r>
      <w:r>
        <w:rPr>
          <w:rFonts w:ascii="Source Sans Pro" w:hAnsi="Source Sans Pro"/>
        </w:rPr>
        <w:t>multiple times</w:t>
      </w:r>
      <w:r w:rsidR="00B00115" w:rsidRPr="00CF29BB">
        <w:rPr>
          <w:rFonts w:ascii="Source Sans Pro" w:hAnsi="Source Sans Pro"/>
        </w:rPr>
        <w:t>.</w:t>
      </w:r>
    </w:p>
    <w:p w14:paraId="13A97AE3" w14:textId="77777777" w:rsidR="00B00115" w:rsidRPr="00CF29BB" w:rsidRDefault="00B00115" w:rsidP="007A61BE">
      <w:pPr>
        <w:pStyle w:val="Heading2"/>
      </w:pPr>
      <w:r w:rsidRPr="00CF29BB">
        <w:lastRenderedPageBreak/>
        <w:t xml:space="preserve">Does a student's unit load (full-time vs. part-time) affect how they are counted for supplemental funding? </w:t>
      </w:r>
    </w:p>
    <w:p w14:paraId="67DC1CAC" w14:textId="77777777" w:rsidR="00B00115" w:rsidRPr="00CF29BB" w:rsidRDefault="00AC6F86" w:rsidP="00B00115">
      <w:pPr>
        <w:rPr>
          <w:rFonts w:ascii="Source Sans Pro" w:hAnsi="Source Sans Pro"/>
        </w:rPr>
      </w:pPr>
      <w:r>
        <w:rPr>
          <w:rFonts w:ascii="Source Sans Pro" w:hAnsi="Source Sans Pro"/>
        </w:rPr>
        <w:t xml:space="preserve">No. </w:t>
      </w:r>
      <w:r w:rsidR="00B00115" w:rsidRPr="00CF29BB">
        <w:rPr>
          <w:rFonts w:ascii="Source Sans Pro" w:hAnsi="Source Sans Pro"/>
        </w:rPr>
        <w:t>The supplemental metrics are based on headcount.</w:t>
      </w:r>
    </w:p>
    <w:p w14:paraId="0244D3E5" w14:textId="77777777" w:rsidR="007A61BE" w:rsidRPr="00CF29BB" w:rsidRDefault="007A61BE" w:rsidP="007A61BE">
      <w:pPr>
        <w:pStyle w:val="Heading2"/>
      </w:pPr>
      <w:r w:rsidRPr="00CF29BB">
        <w:rPr>
          <w:rFonts w:eastAsia="Calibri"/>
        </w:rPr>
        <w:t>What year’s students are used for a given year’s funding?</w:t>
      </w:r>
      <w:bookmarkEnd w:id="36"/>
      <w:r w:rsidRPr="00CF29BB">
        <w:rPr>
          <w:rFonts w:eastAsia="Calibri"/>
        </w:rPr>
        <w:t xml:space="preserve"> </w:t>
      </w:r>
    </w:p>
    <w:p w14:paraId="2581B0C4" w14:textId="77777777" w:rsidR="007A61BE" w:rsidRPr="00CF29BB" w:rsidRDefault="00680995" w:rsidP="007A61BE">
      <w:pPr>
        <w:ind w:left="499" w:right="0"/>
        <w:rPr>
          <w:rFonts w:ascii="Source Sans Pro" w:hAnsi="Source Sans Pro"/>
        </w:rPr>
      </w:pPr>
      <w:r>
        <w:rPr>
          <w:rFonts w:ascii="Source Sans Pro" w:hAnsi="Source Sans Pro"/>
        </w:rPr>
        <w:t>The Supplemental Allocation is based on prior-year data. For funding in 2018-19, the SCFF uses counts from 2017-18.</w:t>
      </w:r>
    </w:p>
    <w:p w14:paraId="7B6707FF" w14:textId="77777777" w:rsidR="007A61BE" w:rsidRPr="00CF29BB" w:rsidRDefault="007A61BE" w:rsidP="007A61BE">
      <w:pPr>
        <w:pStyle w:val="Heading2"/>
      </w:pPr>
      <w:bookmarkStart w:id="37" w:name="_Toc518053146"/>
      <w:r w:rsidRPr="00CF29BB">
        <w:rPr>
          <w:rFonts w:eastAsia="Calibri"/>
        </w:rPr>
        <w:t>Why are headcounts used instead of FTES?</w:t>
      </w:r>
      <w:bookmarkEnd w:id="37"/>
      <w:r w:rsidRPr="00CF29BB">
        <w:rPr>
          <w:rFonts w:eastAsia="Calibri"/>
        </w:rPr>
        <w:t xml:space="preserve"> </w:t>
      </w:r>
    </w:p>
    <w:p w14:paraId="3AAACCB4" w14:textId="77777777" w:rsidR="007A61BE" w:rsidRPr="00CF29BB" w:rsidRDefault="007A61BE" w:rsidP="007A61BE">
      <w:pPr>
        <w:ind w:left="499" w:right="0"/>
        <w:rPr>
          <w:rFonts w:ascii="Source Sans Pro" w:hAnsi="Source Sans Pro"/>
        </w:rPr>
      </w:pPr>
      <w:r w:rsidRPr="00CF29BB">
        <w:rPr>
          <w:rFonts w:ascii="Source Sans Pro" w:hAnsi="Source Sans Pro"/>
        </w:rPr>
        <w:t xml:space="preserve">Headcounts </w:t>
      </w:r>
      <w:r w:rsidR="00680995">
        <w:rPr>
          <w:rFonts w:ascii="Source Sans Pro" w:hAnsi="Source Sans Pro"/>
        </w:rPr>
        <w:t>recognize that the</w:t>
      </w:r>
      <w:r w:rsidRPr="00CF29BB">
        <w:rPr>
          <w:rFonts w:ascii="Source Sans Pro" w:hAnsi="Source Sans Pro"/>
        </w:rPr>
        <w:t xml:space="preserve"> services </w:t>
      </w:r>
      <w:r w:rsidR="00680995">
        <w:rPr>
          <w:rFonts w:ascii="Source Sans Pro" w:hAnsi="Source Sans Pro"/>
        </w:rPr>
        <w:t>needed to overcome the barriers students face may not vary according to the number of courses they take</w:t>
      </w:r>
      <w:r w:rsidRPr="00CF29BB">
        <w:rPr>
          <w:rFonts w:ascii="Source Sans Pro" w:hAnsi="Source Sans Pro"/>
        </w:rPr>
        <w:t xml:space="preserve">. </w:t>
      </w:r>
    </w:p>
    <w:p w14:paraId="457BF406" w14:textId="77777777" w:rsidR="007A61BE" w:rsidRPr="00CF29BB" w:rsidRDefault="007A61BE" w:rsidP="00D712A6">
      <w:pPr>
        <w:pStyle w:val="Heading2"/>
        <w:ind w:left="540" w:hanging="540"/>
      </w:pPr>
      <w:bookmarkStart w:id="38" w:name="_Toc518053147"/>
      <w:r w:rsidRPr="00CF29BB">
        <w:rPr>
          <w:rFonts w:eastAsia="Calibri"/>
        </w:rPr>
        <w:t xml:space="preserve">Why aren’t </w:t>
      </w:r>
      <w:r w:rsidR="00680995" w:rsidRPr="00CF29BB">
        <w:rPr>
          <w:rFonts w:eastAsia="Calibri"/>
        </w:rPr>
        <w:t>first</w:t>
      </w:r>
      <w:r w:rsidR="00680995">
        <w:rPr>
          <w:rFonts w:eastAsia="Calibri"/>
        </w:rPr>
        <w:t>-</w:t>
      </w:r>
      <w:r w:rsidRPr="00CF29BB">
        <w:rPr>
          <w:rFonts w:eastAsia="Calibri"/>
        </w:rPr>
        <w:t>generation</w:t>
      </w:r>
      <w:r w:rsidR="00680995">
        <w:rPr>
          <w:rFonts w:eastAsia="Calibri"/>
        </w:rPr>
        <w:t xml:space="preserve"> college</w:t>
      </w:r>
      <w:r w:rsidRPr="00CF29BB">
        <w:rPr>
          <w:rFonts w:eastAsia="Calibri"/>
        </w:rPr>
        <w:t xml:space="preserve"> students funded as part of the </w:t>
      </w:r>
      <w:r w:rsidR="00B53386" w:rsidRPr="00CF29BB">
        <w:rPr>
          <w:rFonts w:eastAsia="Calibri"/>
        </w:rPr>
        <w:t>Supplemental Allocation</w:t>
      </w:r>
      <w:r w:rsidRPr="00CF29BB">
        <w:rPr>
          <w:rFonts w:eastAsia="Calibri"/>
        </w:rPr>
        <w:t>?</w:t>
      </w:r>
      <w:bookmarkEnd w:id="38"/>
      <w:r w:rsidRPr="00CF29BB">
        <w:rPr>
          <w:rFonts w:eastAsia="Calibri"/>
        </w:rPr>
        <w:t xml:space="preserve"> </w:t>
      </w:r>
    </w:p>
    <w:p w14:paraId="3F4D73D4" w14:textId="77777777" w:rsidR="007A61BE" w:rsidRPr="00CF29BB" w:rsidRDefault="007A61BE" w:rsidP="007A61BE">
      <w:pPr>
        <w:ind w:left="499" w:right="0"/>
        <w:rPr>
          <w:rFonts w:ascii="Source Sans Pro" w:hAnsi="Source Sans Pro"/>
        </w:rPr>
      </w:pPr>
      <w:r w:rsidRPr="00CF29BB">
        <w:rPr>
          <w:rFonts w:ascii="Source Sans Pro" w:hAnsi="Source Sans Pro"/>
        </w:rPr>
        <w:t>At this time</w:t>
      </w:r>
      <w:r w:rsidR="00680995">
        <w:rPr>
          <w:rFonts w:ascii="Source Sans Pro" w:hAnsi="Source Sans Pro"/>
        </w:rPr>
        <w:t xml:space="preserve"> the formula was adopted</w:t>
      </w:r>
      <w:r w:rsidRPr="00CF29BB">
        <w:rPr>
          <w:rFonts w:ascii="Source Sans Pro" w:hAnsi="Source Sans Pro"/>
        </w:rPr>
        <w:t xml:space="preserve">, the data on </w:t>
      </w:r>
      <w:r w:rsidR="00680995" w:rsidRPr="00CF29BB">
        <w:rPr>
          <w:rFonts w:ascii="Source Sans Pro" w:hAnsi="Source Sans Pro"/>
        </w:rPr>
        <w:t>first</w:t>
      </w:r>
      <w:r w:rsidR="00680995">
        <w:rPr>
          <w:rFonts w:ascii="Source Sans Pro" w:hAnsi="Source Sans Pro"/>
        </w:rPr>
        <w:t>-</w:t>
      </w:r>
      <w:r w:rsidRPr="00CF29BB">
        <w:rPr>
          <w:rFonts w:ascii="Source Sans Pro" w:hAnsi="Source Sans Pro"/>
        </w:rPr>
        <w:t>generation students</w:t>
      </w:r>
      <w:r w:rsidR="00680995">
        <w:rPr>
          <w:rFonts w:ascii="Source Sans Pro" w:hAnsi="Source Sans Pro"/>
        </w:rPr>
        <w:t xml:space="preserve"> was not reliable, because the Chancellor’s Office only had data on</w:t>
      </w:r>
      <w:r w:rsidR="000B7E81" w:rsidRPr="00CF29BB">
        <w:rPr>
          <w:rFonts w:ascii="Source Sans Pro" w:hAnsi="Source Sans Pro"/>
        </w:rPr>
        <w:t xml:space="preserve"> </w:t>
      </w:r>
      <w:r w:rsidR="00680995">
        <w:rPr>
          <w:rFonts w:ascii="Source Sans Pro" w:hAnsi="Source Sans Pro"/>
        </w:rPr>
        <w:t>a student’s</w:t>
      </w:r>
      <w:r w:rsidR="000B7E81" w:rsidRPr="00CF29BB">
        <w:rPr>
          <w:rFonts w:ascii="Source Sans Pro" w:hAnsi="Source Sans Pro"/>
        </w:rPr>
        <w:t xml:space="preserve"> self-reported status</w:t>
      </w:r>
      <w:r w:rsidR="00680995">
        <w:rPr>
          <w:rFonts w:ascii="Source Sans Pro" w:hAnsi="Source Sans Pro"/>
        </w:rPr>
        <w:t>.</w:t>
      </w:r>
      <w:r w:rsidR="000B7E81" w:rsidRPr="00CF29BB">
        <w:rPr>
          <w:rFonts w:ascii="Source Sans Pro" w:hAnsi="Source Sans Pro"/>
        </w:rPr>
        <w:t xml:space="preserve"> </w:t>
      </w:r>
      <w:r w:rsidR="00680995">
        <w:rPr>
          <w:rFonts w:ascii="Source Sans Pro" w:hAnsi="Source Sans Pro"/>
        </w:rPr>
        <w:t>The</w:t>
      </w:r>
      <w:r w:rsidRPr="00CF29BB">
        <w:rPr>
          <w:rFonts w:ascii="Source Sans Pro" w:hAnsi="Source Sans Pro"/>
        </w:rPr>
        <w:t xml:space="preserve"> SCFF Oversight Committee</w:t>
      </w:r>
      <w:r w:rsidR="00680995">
        <w:rPr>
          <w:rFonts w:ascii="Source Sans Pro" w:hAnsi="Source Sans Pro"/>
        </w:rPr>
        <w:t xml:space="preserve"> is charged with evaluating options for including this count as part of the Supplemental Allocation</w:t>
      </w:r>
      <w:r w:rsidR="00D712A6" w:rsidRPr="00CF29BB">
        <w:rPr>
          <w:rFonts w:ascii="Source Sans Pro" w:hAnsi="Source Sans Pro"/>
        </w:rPr>
        <w:t>.</w:t>
      </w:r>
    </w:p>
    <w:p w14:paraId="19616A34" w14:textId="77777777" w:rsidR="007A61BE" w:rsidRPr="00CF29BB" w:rsidRDefault="007A61BE" w:rsidP="00D712A6">
      <w:pPr>
        <w:pStyle w:val="Heading2"/>
        <w:ind w:left="540" w:hanging="540"/>
      </w:pPr>
      <w:bookmarkStart w:id="39" w:name="_Toc518053148"/>
      <w:r w:rsidRPr="00CF29BB">
        <w:rPr>
          <w:rFonts w:eastAsia="Calibri"/>
        </w:rPr>
        <w:t xml:space="preserve">Why aren’t noncredit students funded as part of the </w:t>
      </w:r>
      <w:r w:rsidR="00B53386" w:rsidRPr="00CF29BB">
        <w:rPr>
          <w:rFonts w:eastAsia="Calibri"/>
        </w:rPr>
        <w:t>Supplemental Allocation</w:t>
      </w:r>
      <w:r w:rsidRPr="00CF29BB">
        <w:rPr>
          <w:rFonts w:eastAsia="Calibri"/>
        </w:rPr>
        <w:t>?</w:t>
      </w:r>
      <w:bookmarkEnd w:id="39"/>
      <w:r w:rsidRPr="00CF29BB">
        <w:rPr>
          <w:rFonts w:eastAsia="Calibri"/>
        </w:rPr>
        <w:t xml:space="preserve"> </w:t>
      </w:r>
    </w:p>
    <w:p w14:paraId="49340CBB" w14:textId="77777777" w:rsidR="007A61BE" w:rsidRPr="00CF29BB" w:rsidRDefault="00680995" w:rsidP="007A61BE">
      <w:pPr>
        <w:ind w:left="499" w:right="0"/>
        <w:rPr>
          <w:rFonts w:ascii="Source Sans Pro" w:hAnsi="Source Sans Pro"/>
        </w:rPr>
      </w:pPr>
      <w:r>
        <w:rPr>
          <w:rFonts w:ascii="Source Sans Pro" w:hAnsi="Source Sans Pro"/>
        </w:rPr>
        <w:t>Enrollment in noncredit courses is funded at current rates</w:t>
      </w:r>
      <w:r w:rsidR="007A61BE" w:rsidRPr="00CF29BB">
        <w:rPr>
          <w:rFonts w:ascii="Source Sans Pro" w:hAnsi="Source Sans Pro"/>
        </w:rPr>
        <w:t xml:space="preserve">. </w:t>
      </w:r>
    </w:p>
    <w:p w14:paraId="6CD9327B" w14:textId="77777777" w:rsidR="00BB1EA7" w:rsidRPr="00CF29BB" w:rsidRDefault="00B00115" w:rsidP="00D712A6">
      <w:pPr>
        <w:pStyle w:val="Heading2"/>
        <w:ind w:left="540" w:hanging="540"/>
      </w:pPr>
      <w:r w:rsidRPr="00CF29BB">
        <w:t xml:space="preserve">What if a student transfers to a </w:t>
      </w:r>
      <w:r w:rsidR="00790775">
        <w:t>four-year</w:t>
      </w:r>
      <w:r w:rsidRPr="00CF29BB">
        <w:t xml:space="preserve"> institution and receives a Pell grant </w:t>
      </w:r>
      <w:r w:rsidR="00585C3B" w:rsidRPr="00CF29BB">
        <w:t xml:space="preserve">there </w:t>
      </w:r>
      <w:r w:rsidRPr="00CF29BB">
        <w:t>even though they had not received the grant when enrolled at the community college?</w:t>
      </w:r>
    </w:p>
    <w:p w14:paraId="63727CA3" w14:textId="77777777" w:rsidR="00B00115" w:rsidRPr="00CF29BB" w:rsidRDefault="00680995" w:rsidP="00B00115">
      <w:pPr>
        <w:rPr>
          <w:rFonts w:ascii="Source Sans Pro" w:hAnsi="Source Sans Pro"/>
        </w:rPr>
      </w:pPr>
      <w:r>
        <w:rPr>
          <w:rFonts w:ascii="Source Sans Pro" w:hAnsi="Source Sans Pro"/>
        </w:rPr>
        <w:t>The SCFF funds counts of students who received Pell Grants at the community college in the prior year</w:t>
      </w:r>
      <w:r w:rsidR="00B00115" w:rsidRPr="00CF29BB">
        <w:rPr>
          <w:rFonts w:ascii="Source Sans Pro" w:hAnsi="Source Sans Pro"/>
        </w:rPr>
        <w:t xml:space="preserve">. </w:t>
      </w:r>
    </w:p>
    <w:p w14:paraId="3A245F0B" w14:textId="77777777" w:rsidR="00B00115" w:rsidRPr="00CF29BB" w:rsidRDefault="00B00115" w:rsidP="00D712A6">
      <w:pPr>
        <w:pStyle w:val="Heading2"/>
        <w:ind w:left="540" w:hanging="540"/>
      </w:pPr>
      <w:r w:rsidRPr="00CF29BB">
        <w:t xml:space="preserve">Is there any other way to identify low-income students who live in high cost regions? </w:t>
      </w:r>
    </w:p>
    <w:p w14:paraId="205EFD11" w14:textId="77777777" w:rsidR="00B00115" w:rsidRPr="00CF29BB" w:rsidRDefault="00680995" w:rsidP="00B00115">
      <w:pPr>
        <w:rPr>
          <w:rFonts w:ascii="Source Sans Pro" w:hAnsi="Source Sans Pro"/>
        </w:rPr>
      </w:pPr>
      <w:r>
        <w:rPr>
          <w:rFonts w:ascii="Source Sans Pro" w:hAnsi="Source Sans Pro"/>
        </w:rPr>
        <w:t>T</w:t>
      </w:r>
      <w:r w:rsidR="00367348">
        <w:rPr>
          <w:rFonts w:ascii="Source Sans Pro" w:hAnsi="Source Sans Pro"/>
        </w:rPr>
        <w:t>he SCFF Oversight Committee is charged with evaluating options for the Supplemental Allocation given differences in costs across regions.</w:t>
      </w:r>
      <w:r w:rsidR="00B00115" w:rsidRPr="00CF29BB">
        <w:rPr>
          <w:rFonts w:ascii="Source Sans Pro" w:hAnsi="Source Sans Pro"/>
        </w:rPr>
        <w:t xml:space="preserve"> </w:t>
      </w:r>
    </w:p>
    <w:p w14:paraId="771F475E" w14:textId="77777777" w:rsidR="00B00115" w:rsidRPr="00CF29BB" w:rsidRDefault="00B00115" w:rsidP="00C31960">
      <w:pPr>
        <w:pStyle w:val="Heading2"/>
        <w:ind w:left="540" w:hanging="540"/>
      </w:pPr>
      <w:r w:rsidRPr="00CF29BB">
        <w:t xml:space="preserve">Some </w:t>
      </w:r>
      <w:r w:rsidR="00A62540" w:rsidRPr="00CF29BB">
        <w:t>AB</w:t>
      </w:r>
      <w:r w:rsidR="00367348">
        <w:t xml:space="preserve"> </w:t>
      </w:r>
      <w:r w:rsidR="00A62540" w:rsidRPr="00CF29BB">
        <w:t>540</w:t>
      </w:r>
      <w:r w:rsidRPr="00CF29BB">
        <w:t xml:space="preserve"> students are not undocumented</w:t>
      </w:r>
      <w:r w:rsidR="003A0C3F">
        <w:t>. W</w:t>
      </w:r>
      <w:r w:rsidR="009B268B">
        <w:t>hich metric is used?</w:t>
      </w:r>
    </w:p>
    <w:p w14:paraId="0601EB52" w14:textId="77777777" w:rsidR="00B00115" w:rsidRPr="00CF29BB" w:rsidRDefault="00367348" w:rsidP="0040658D">
      <w:pPr>
        <w:rPr>
          <w:rFonts w:ascii="Source Sans Pro" w:hAnsi="Source Sans Pro"/>
        </w:rPr>
      </w:pPr>
      <w:r>
        <w:rPr>
          <w:rFonts w:ascii="Source Sans Pro" w:hAnsi="Source Sans Pro"/>
        </w:rPr>
        <w:t>The SCFF uses total</w:t>
      </w:r>
      <w:r w:rsidRPr="00CF29BB">
        <w:rPr>
          <w:rFonts w:ascii="Source Sans Pro" w:hAnsi="Source Sans Pro"/>
        </w:rPr>
        <w:t xml:space="preserve"> </w:t>
      </w:r>
      <w:r w:rsidR="00A62540" w:rsidRPr="00CF29BB">
        <w:rPr>
          <w:rFonts w:ascii="Source Sans Pro" w:hAnsi="Source Sans Pro"/>
        </w:rPr>
        <w:t>AB</w:t>
      </w:r>
      <w:r>
        <w:rPr>
          <w:rFonts w:ascii="Source Sans Pro" w:hAnsi="Source Sans Pro"/>
        </w:rPr>
        <w:t xml:space="preserve"> </w:t>
      </w:r>
      <w:r w:rsidR="00A62540" w:rsidRPr="00CF29BB">
        <w:rPr>
          <w:rFonts w:ascii="Source Sans Pro" w:hAnsi="Source Sans Pro"/>
        </w:rPr>
        <w:t>540</w:t>
      </w:r>
      <w:r w:rsidR="00B00115" w:rsidRPr="00CF29BB">
        <w:rPr>
          <w:rFonts w:ascii="Source Sans Pro" w:hAnsi="Source Sans Pro"/>
        </w:rPr>
        <w:t xml:space="preserve"> </w:t>
      </w:r>
      <w:r>
        <w:rPr>
          <w:rFonts w:ascii="Source Sans Pro" w:hAnsi="Source Sans Pro"/>
        </w:rPr>
        <w:t>counts</w:t>
      </w:r>
      <w:r w:rsidR="00B00115" w:rsidRPr="00CF29BB">
        <w:rPr>
          <w:rFonts w:ascii="Source Sans Pro" w:hAnsi="Source Sans Pro"/>
        </w:rPr>
        <w:t>.</w:t>
      </w:r>
    </w:p>
    <w:p w14:paraId="12AD5A2B" w14:textId="77777777" w:rsidR="007A61BE" w:rsidRPr="00CF29BB" w:rsidRDefault="007A61BE" w:rsidP="006B1E7A">
      <w:pPr>
        <w:pStyle w:val="Heading1"/>
        <w:ind w:left="90" w:hanging="522"/>
        <w:rPr>
          <w:rFonts w:ascii="Source Sans Pro" w:hAnsi="Source Sans Pro"/>
          <w:color w:val="002F6D"/>
        </w:rPr>
      </w:pPr>
      <w:bookmarkStart w:id="40" w:name="_Toc536798194"/>
      <w:r w:rsidRPr="00CF29BB">
        <w:rPr>
          <w:rFonts w:ascii="Source Sans Pro" w:hAnsi="Source Sans Pro"/>
          <w:color w:val="002F6D"/>
        </w:rPr>
        <w:t xml:space="preserve">Student </w:t>
      </w:r>
      <w:r w:rsidR="00B53386" w:rsidRPr="00CF29BB">
        <w:rPr>
          <w:rFonts w:ascii="Source Sans Pro" w:hAnsi="Source Sans Pro"/>
          <w:color w:val="002F6D"/>
        </w:rPr>
        <w:t>Success Allocation</w:t>
      </w:r>
      <w:bookmarkEnd w:id="40"/>
      <w:r w:rsidRPr="00CF29BB">
        <w:rPr>
          <w:rFonts w:ascii="Source Sans Pro" w:hAnsi="Source Sans Pro"/>
          <w:color w:val="002F6D"/>
        </w:rPr>
        <w:t xml:space="preserve"> </w:t>
      </w:r>
      <w:bookmarkStart w:id="41" w:name="_Toc518053150"/>
    </w:p>
    <w:p w14:paraId="1F68F200" w14:textId="77777777" w:rsidR="007A61BE" w:rsidRPr="00CF29BB" w:rsidRDefault="007A61BE" w:rsidP="007A61BE">
      <w:pPr>
        <w:pStyle w:val="Heading2"/>
      </w:pPr>
      <w:r w:rsidRPr="00CF29BB">
        <w:rPr>
          <w:rFonts w:eastAsia="Calibri"/>
        </w:rPr>
        <w:t xml:space="preserve">How is the </w:t>
      </w:r>
      <w:r w:rsidR="00367348">
        <w:rPr>
          <w:rFonts w:eastAsia="Calibri"/>
        </w:rPr>
        <w:t xml:space="preserve">Student </w:t>
      </w:r>
      <w:r w:rsidR="00B53386" w:rsidRPr="00CF29BB">
        <w:rPr>
          <w:rFonts w:eastAsia="Calibri"/>
        </w:rPr>
        <w:t>Success Allocation</w:t>
      </w:r>
      <w:r w:rsidRPr="00CF29BB">
        <w:rPr>
          <w:rFonts w:eastAsia="Calibri"/>
        </w:rPr>
        <w:t xml:space="preserve"> calculated?</w:t>
      </w:r>
      <w:bookmarkEnd w:id="41"/>
      <w:r w:rsidRPr="00CF29BB">
        <w:rPr>
          <w:rFonts w:eastAsia="Calibri"/>
        </w:rPr>
        <w:t xml:space="preserve"> </w:t>
      </w:r>
    </w:p>
    <w:p w14:paraId="18189D54" w14:textId="77777777" w:rsidR="007A61BE" w:rsidRPr="00CF29BB" w:rsidRDefault="007A61BE" w:rsidP="00005342">
      <w:pPr>
        <w:ind w:left="450" w:right="0" w:firstLine="0"/>
        <w:rPr>
          <w:rFonts w:ascii="Source Sans Pro" w:hAnsi="Source Sans Pro"/>
        </w:rPr>
      </w:pPr>
      <w:r w:rsidRPr="006564A6">
        <w:rPr>
          <w:rFonts w:ascii="Source Sans Pro" w:hAnsi="Source Sans Pro"/>
        </w:rPr>
        <w:t xml:space="preserve">The </w:t>
      </w:r>
      <w:r w:rsidR="00367348" w:rsidRPr="006564A6">
        <w:rPr>
          <w:rFonts w:ascii="Source Sans Pro" w:hAnsi="Source Sans Pro"/>
        </w:rPr>
        <w:t xml:space="preserve">Student </w:t>
      </w:r>
      <w:r w:rsidR="00B53386" w:rsidRPr="006564A6">
        <w:rPr>
          <w:rFonts w:ascii="Source Sans Pro" w:hAnsi="Source Sans Pro"/>
        </w:rPr>
        <w:t>Success Allocation</w:t>
      </w:r>
      <w:r w:rsidRPr="006564A6">
        <w:rPr>
          <w:rFonts w:ascii="Source Sans Pro" w:hAnsi="Source Sans Pro"/>
        </w:rPr>
        <w:t xml:space="preserve"> </w:t>
      </w:r>
      <w:r w:rsidR="00367348" w:rsidRPr="006564A6">
        <w:rPr>
          <w:rFonts w:ascii="Source Sans Pro" w:hAnsi="Source Sans Pro"/>
        </w:rPr>
        <w:t xml:space="preserve">assigns funding rates for eight outcomes that represent progress toward the </w:t>
      </w:r>
      <w:r w:rsidR="006564A6" w:rsidRPr="006564A6">
        <w:rPr>
          <w:rFonts w:ascii="Source Sans Pro" w:hAnsi="Source Sans Pro"/>
          <w:i/>
        </w:rPr>
        <w:t>Vision</w:t>
      </w:r>
      <w:r w:rsidR="00367348" w:rsidRPr="006564A6">
        <w:rPr>
          <w:rFonts w:ascii="Source Sans Pro" w:hAnsi="Source Sans Pro"/>
        </w:rPr>
        <w:t>.</w:t>
      </w:r>
      <w:r w:rsidRPr="006564A6">
        <w:rPr>
          <w:rFonts w:ascii="Source Sans Pro" w:hAnsi="Source Sans Pro"/>
        </w:rPr>
        <w:t xml:space="preserve"> </w:t>
      </w:r>
      <w:r w:rsidR="00367348" w:rsidRPr="006564A6">
        <w:rPr>
          <w:rFonts w:ascii="Source Sans Pro" w:hAnsi="Source Sans Pro"/>
        </w:rPr>
        <w:t>Further</w:t>
      </w:r>
      <w:r w:rsidR="006721EF">
        <w:rPr>
          <w:rFonts w:ascii="Source Sans Pro" w:hAnsi="Source Sans Pro"/>
        </w:rPr>
        <w:t>more</w:t>
      </w:r>
      <w:r w:rsidR="00367348" w:rsidRPr="006564A6">
        <w:rPr>
          <w:rFonts w:ascii="Source Sans Pro" w:hAnsi="Source Sans Pro"/>
        </w:rPr>
        <w:t>, a district receives additional funds for outcomes attained by students who received</w:t>
      </w:r>
      <w:r w:rsidR="00C31960" w:rsidRPr="006564A6">
        <w:rPr>
          <w:rFonts w:ascii="Source Sans Pro" w:hAnsi="Source Sans Pro"/>
        </w:rPr>
        <w:t xml:space="preserve"> Pell </w:t>
      </w:r>
      <w:r w:rsidR="00367348" w:rsidRPr="006564A6">
        <w:rPr>
          <w:rFonts w:ascii="Source Sans Pro" w:hAnsi="Source Sans Pro"/>
        </w:rPr>
        <w:t>Grants and College Promise Grants</w:t>
      </w:r>
      <w:r w:rsidR="00C31960" w:rsidRPr="006564A6">
        <w:rPr>
          <w:rFonts w:ascii="Source Sans Pro" w:hAnsi="Source Sans Pro"/>
        </w:rPr>
        <w:t>.</w:t>
      </w:r>
      <w:r w:rsidR="00C31960" w:rsidRPr="00CF29BB">
        <w:rPr>
          <w:rFonts w:ascii="Source Sans Pro" w:hAnsi="Source Sans Pro"/>
        </w:rPr>
        <w:t xml:space="preserve">    </w:t>
      </w:r>
    </w:p>
    <w:p w14:paraId="03586341" w14:textId="77777777" w:rsidR="007A61BE" w:rsidRPr="00CF29BB" w:rsidRDefault="007A61BE" w:rsidP="007A61BE">
      <w:pPr>
        <w:pStyle w:val="Heading2"/>
      </w:pPr>
      <w:bookmarkStart w:id="42" w:name="_Toc518053151"/>
      <w:r w:rsidRPr="00CF29BB">
        <w:rPr>
          <w:rFonts w:eastAsia="Calibri"/>
        </w:rPr>
        <w:lastRenderedPageBreak/>
        <w:t>What are the metrics and what are their point values?</w:t>
      </w:r>
      <w:bookmarkEnd w:id="42"/>
      <w:r w:rsidRPr="00CF29BB">
        <w:rPr>
          <w:rFonts w:eastAsia="Calibri"/>
        </w:rPr>
        <w:t xml:space="preserve"> </w:t>
      </w:r>
    </w:p>
    <w:p w14:paraId="70E46FE1" w14:textId="77777777" w:rsidR="007A61BE" w:rsidRPr="00CF29BB" w:rsidRDefault="00367348" w:rsidP="00F63843">
      <w:pPr>
        <w:spacing w:after="156"/>
        <w:ind w:left="499" w:right="0"/>
        <w:rPr>
          <w:rFonts w:ascii="Source Sans Pro" w:hAnsi="Source Sans Pro"/>
        </w:rPr>
      </w:pPr>
      <w:r>
        <w:rPr>
          <w:rFonts w:ascii="Source Sans Pro" w:hAnsi="Source Sans Pro"/>
        </w:rPr>
        <w:t>The SCFF counts all of the following:</w:t>
      </w:r>
      <w:r w:rsidR="00793F62">
        <w:rPr>
          <w:rFonts w:ascii="Source Sans Pro" w:hAnsi="Source Sans Pro"/>
        </w:rPr>
        <w:t xml:space="preserve"> a</w:t>
      </w:r>
      <w:r w:rsidR="007A61BE" w:rsidRPr="00CF29BB">
        <w:rPr>
          <w:rFonts w:ascii="Source Sans Pro" w:hAnsi="Source Sans Pro"/>
        </w:rPr>
        <w:t>ssociate</w:t>
      </w:r>
      <w:r w:rsidR="00793F62">
        <w:rPr>
          <w:rFonts w:ascii="Source Sans Pro" w:hAnsi="Source Sans Pro"/>
        </w:rPr>
        <w:t xml:space="preserve"> d</w:t>
      </w:r>
      <w:r w:rsidR="007A61BE" w:rsidRPr="00CF29BB">
        <w:rPr>
          <w:rFonts w:ascii="Source Sans Pro" w:hAnsi="Source Sans Pro"/>
        </w:rPr>
        <w:t>egrees</w:t>
      </w:r>
      <w:r w:rsidR="003B5DD0">
        <w:rPr>
          <w:rFonts w:ascii="Source Sans Pro" w:hAnsi="Source Sans Pro"/>
        </w:rPr>
        <w:t xml:space="preserve"> for </w:t>
      </w:r>
      <w:r w:rsidR="00793F62">
        <w:rPr>
          <w:rFonts w:ascii="Source Sans Pro" w:hAnsi="Source Sans Pro"/>
        </w:rPr>
        <w:t>tr</w:t>
      </w:r>
      <w:r w:rsidR="003B5DD0">
        <w:rPr>
          <w:rFonts w:ascii="Source Sans Pro" w:hAnsi="Source Sans Pro"/>
        </w:rPr>
        <w:t xml:space="preserve">ansfer </w:t>
      </w:r>
      <w:r w:rsidR="00793F62">
        <w:rPr>
          <w:rFonts w:ascii="Source Sans Pro" w:hAnsi="Source Sans Pro"/>
        </w:rPr>
        <w:t xml:space="preserve">(ADT) </w:t>
      </w:r>
      <w:r w:rsidR="003B5DD0">
        <w:rPr>
          <w:rFonts w:ascii="Source Sans Pro" w:hAnsi="Source Sans Pro"/>
        </w:rPr>
        <w:t>granted</w:t>
      </w:r>
      <w:r w:rsidR="00793F62">
        <w:rPr>
          <w:rFonts w:ascii="Source Sans Pro" w:hAnsi="Source Sans Pro"/>
        </w:rPr>
        <w:t>, a</w:t>
      </w:r>
      <w:r w:rsidR="007A61BE" w:rsidRPr="00CF29BB">
        <w:rPr>
          <w:rFonts w:ascii="Source Sans Pro" w:hAnsi="Source Sans Pro"/>
        </w:rPr>
        <w:t>ssociate</w:t>
      </w:r>
      <w:r w:rsidR="00793F62">
        <w:rPr>
          <w:rFonts w:ascii="Source Sans Pro" w:hAnsi="Source Sans Pro"/>
        </w:rPr>
        <w:t xml:space="preserve"> d</w:t>
      </w:r>
      <w:r w:rsidR="007A61BE" w:rsidRPr="00CF29BB">
        <w:rPr>
          <w:rFonts w:ascii="Source Sans Pro" w:hAnsi="Source Sans Pro"/>
        </w:rPr>
        <w:t xml:space="preserve">egrees </w:t>
      </w:r>
      <w:r w:rsidR="003B5DD0">
        <w:rPr>
          <w:rFonts w:ascii="Source Sans Pro" w:hAnsi="Source Sans Pro"/>
        </w:rPr>
        <w:t>granted (excluding ADTs)</w:t>
      </w:r>
      <w:r w:rsidR="007A61BE" w:rsidRPr="00CF29BB">
        <w:rPr>
          <w:rFonts w:ascii="Source Sans Pro" w:hAnsi="Source Sans Pro"/>
        </w:rPr>
        <w:t>,</w:t>
      </w:r>
      <w:r w:rsidR="00793F62">
        <w:rPr>
          <w:rFonts w:ascii="Source Sans Pro" w:hAnsi="Source Sans Pro"/>
        </w:rPr>
        <w:t xml:space="preserve"> b</w:t>
      </w:r>
      <w:r w:rsidR="003B5DD0">
        <w:rPr>
          <w:rFonts w:ascii="Source Sans Pro" w:hAnsi="Source Sans Pro"/>
        </w:rPr>
        <w:t>accalaureate degrees granted,</w:t>
      </w:r>
      <w:r w:rsidR="00793F62">
        <w:rPr>
          <w:rFonts w:ascii="Source Sans Pro" w:hAnsi="Source Sans Pro"/>
        </w:rPr>
        <w:t xml:space="preserve"> credit c</w:t>
      </w:r>
      <w:r w:rsidR="007A61BE" w:rsidRPr="00CF29BB">
        <w:rPr>
          <w:rFonts w:ascii="Source Sans Pro" w:hAnsi="Source Sans Pro"/>
        </w:rPr>
        <w:t xml:space="preserve">ertificates </w:t>
      </w:r>
      <w:r w:rsidR="003B5DD0">
        <w:rPr>
          <w:rFonts w:ascii="Source Sans Pro" w:hAnsi="Source Sans Pro"/>
        </w:rPr>
        <w:t>(</w:t>
      </w:r>
      <w:r w:rsidR="007A61BE" w:rsidRPr="00CF29BB">
        <w:rPr>
          <w:rFonts w:ascii="Source Sans Pro" w:hAnsi="Source Sans Pro"/>
        </w:rPr>
        <w:t>1</w:t>
      </w:r>
      <w:r w:rsidR="003B5DD0">
        <w:rPr>
          <w:rFonts w:ascii="Source Sans Pro" w:hAnsi="Source Sans Pro"/>
        </w:rPr>
        <w:t>6 units or more) granted</w:t>
      </w:r>
      <w:r w:rsidR="007A61BE" w:rsidRPr="00CF29BB">
        <w:rPr>
          <w:rFonts w:ascii="Source Sans Pro" w:hAnsi="Source Sans Pro"/>
        </w:rPr>
        <w:t>,</w:t>
      </w:r>
      <w:r w:rsidR="003B5DD0">
        <w:rPr>
          <w:rFonts w:ascii="Source Sans Pro" w:hAnsi="Source Sans Pro"/>
        </w:rPr>
        <w:t xml:space="preserve"> </w:t>
      </w:r>
      <w:r w:rsidR="00793F62">
        <w:rPr>
          <w:rFonts w:ascii="Source Sans Pro" w:hAnsi="Source Sans Pro"/>
        </w:rPr>
        <w:t>completion of transfer-l</w:t>
      </w:r>
      <w:r w:rsidR="003B5DD0">
        <w:rPr>
          <w:rFonts w:ascii="Source Sans Pro" w:hAnsi="Source Sans Pro"/>
        </w:rPr>
        <w:t xml:space="preserve">evel </w:t>
      </w:r>
      <w:r w:rsidR="00E432A2">
        <w:rPr>
          <w:rFonts w:ascii="Source Sans Pro" w:hAnsi="Source Sans Pro"/>
        </w:rPr>
        <w:t>m</w:t>
      </w:r>
      <w:r w:rsidR="003B5DD0">
        <w:rPr>
          <w:rFonts w:ascii="Source Sans Pro" w:hAnsi="Source Sans Pro"/>
        </w:rPr>
        <w:t>ath and English courses within the firs</w:t>
      </w:r>
      <w:r w:rsidR="00793F62">
        <w:rPr>
          <w:rFonts w:ascii="Source Sans Pro" w:hAnsi="Source Sans Pro"/>
        </w:rPr>
        <w:t>t academic year of enrollment, s</w:t>
      </w:r>
      <w:r w:rsidR="003B5DD0">
        <w:rPr>
          <w:rFonts w:ascii="Source Sans Pro" w:hAnsi="Source Sans Pro"/>
        </w:rPr>
        <w:t>uccessful tran</w:t>
      </w:r>
      <w:r w:rsidR="00793F62">
        <w:rPr>
          <w:rFonts w:ascii="Source Sans Pro" w:hAnsi="Source Sans Pro"/>
        </w:rPr>
        <w:t>sfer to a four-year university, c</w:t>
      </w:r>
      <w:r w:rsidR="003B5DD0">
        <w:rPr>
          <w:rFonts w:ascii="Source Sans Pro" w:hAnsi="Source Sans Pro"/>
        </w:rPr>
        <w:t>ompletion of nine or more</w:t>
      </w:r>
      <w:r w:rsidR="007A61BE" w:rsidRPr="00CF29BB">
        <w:rPr>
          <w:rFonts w:ascii="Source Sans Pro" w:hAnsi="Source Sans Pro"/>
        </w:rPr>
        <w:t xml:space="preserve"> CTE </w:t>
      </w:r>
      <w:r w:rsidR="003B5DD0">
        <w:rPr>
          <w:rFonts w:ascii="Source Sans Pro" w:hAnsi="Source Sans Pro"/>
        </w:rPr>
        <w:t>u</w:t>
      </w:r>
      <w:r w:rsidR="007A61BE" w:rsidRPr="00CF29BB">
        <w:rPr>
          <w:rFonts w:ascii="Source Sans Pro" w:hAnsi="Source Sans Pro"/>
        </w:rPr>
        <w:t>nits</w:t>
      </w:r>
      <w:r w:rsidR="003B5DD0">
        <w:rPr>
          <w:rFonts w:ascii="Source Sans Pro" w:hAnsi="Source Sans Pro"/>
        </w:rPr>
        <w:t>,</w:t>
      </w:r>
      <w:r w:rsidR="007A61BE" w:rsidRPr="00CF29BB">
        <w:rPr>
          <w:rFonts w:ascii="Source Sans Pro" w:hAnsi="Source Sans Pro"/>
        </w:rPr>
        <w:t xml:space="preserve"> and </w:t>
      </w:r>
      <w:bookmarkStart w:id="43" w:name="_Hlk534703969"/>
      <w:r w:rsidR="003B5DD0">
        <w:rPr>
          <w:rFonts w:ascii="Source Sans Pro" w:hAnsi="Source Sans Pro"/>
        </w:rPr>
        <w:t>attainment of</w:t>
      </w:r>
      <w:r w:rsidR="003F0F67">
        <w:rPr>
          <w:rFonts w:ascii="Source Sans Pro" w:hAnsi="Source Sans Pro"/>
        </w:rPr>
        <w:t xml:space="preserve"> a</w:t>
      </w:r>
      <w:r w:rsidR="003B5DD0">
        <w:rPr>
          <w:rFonts w:ascii="Source Sans Pro" w:hAnsi="Source Sans Pro"/>
        </w:rPr>
        <w:t xml:space="preserve"> </w:t>
      </w:r>
      <w:r w:rsidR="00793F62">
        <w:rPr>
          <w:rFonts w:ascii="Source Sans Pro" w:hAnsi="Source Sans Pro"/>
        </w:rPr>
        <w:t>regional living w</w:t>
      </w:r>
      <w:r w:rsidR="007A61BE" w:rsidRPr="00CF29BB">
        <w:rPr>
          <w:rFonts w:ascii="Source Sans Pro" w:hAnsi="Source Sans Pro"/>
        </w:rPr>
        <w:t>age</w:t>
      </w:r>
      <w:bookmarkEnd w:id="43"/>
      <w:r w:rsidR="007A61BE" w:rsidRPr="00CF29BB">
        <w:rPr>
          <w:rFonts w:ascii="Source Sans Pro" w:hAnsi="Source Sans Pro"/>
        </w:rPr>
        <w:t xml:space="preserve">. </w:t>
      </w:r>
    </w:p>
    <w:p w14:paraId="06A4FE95" w14:textId="77777777" w:rsidR="007A61BE" w:rsidRPr="00CF29BB" w:rsidRDefault="007A61BE" w:rsidP="007A61BE">
      <w:pPr>
        <w:pStyle w:val="Heading2"/>
      </w:pPr>
      <w:bookmarkStart w:id="44" w:name="_Toc518053152"/>
      <w:r w:rsidRPr="00CF29BB">
        <w:rPr>
          <w:rFonts w:eastAsia="Calibri"/>
        </w:rPr>
        <w:t>What is the rationale behind choosing these specific metrics and weights?</w:t>
      </w:r>
      <w:bookmarkEnd w:id="44"/>
      <w:r w:rsidRPr="00CF29BB">
        <w:rPr>
          <w:rFonts w:eastAsia="Calibri"/>
        </w:rPr>
        <w:t xml:space="preserve"> </w:t>
      </w:r>
    </w:p>
    <w:p w14:paraId="02C746B7" w14:textId="77777777" w:rsidR="007A61BE" w:rsidRPr="00CF29BB" w:rsidRDefault="00367348" w:rsidP="007A61BE">
      <w:pPr>
        <w:spacing w:after="0"/>
        <w:ind w:left="499" w:right="0"/>
        <w:rPr>
          <w:rFonts w:ascii="Source Sans Pro" w:hAnsi="Source Sans Pro"/>
        </w:rPr>
      </w:pPr>
      <w:r>
        <w:rPr>
          <w:rFonts w:ascii="Source Sans Pro" w:hAnsi="Source Sans Pro"/>
        </w:rPr>
        <w:t xml:space="preserve">The Chancellor’s Office recommended measures based on their adherence to the </w:t>
      </w:r>
      <w:r w:rsidR="006564A6" w:rsidRPr="006564A6">
        <w:rPr>
          <w:rFonts w:ascii="Source Sans Pro" w:hAnsi="Source Sans Pro"/>
          <w:i/>
        </w:rPr>
        <w:t>Vision</w:t>
      </w:r>
      <w:r>
        <w:rPr>
          <w:rFonts w:ascii="Source Sans Pro" w:hAnsi="Source Sans Pro"/>
        </w:rPr>
        <w:t xml:space="preserve"> and the Guided Pathways framework.</w:t>
      </w:r>
    </w:p>
    <w:p w14:paraId="31F090E1" w14:textId="77777777" w:rsidR="007A61BE" w:rsidRPr="00CF29BB" w:rsidRDefault="007A61BE" w:rsidP="007A61BE">
      <w:pPr>
        <w:spacing w:after="0"/>
        <w:ind w:left="499" w:right="0"/>
        <w:rPr>
          <w:rFonts w:ascii="Source Sans Pro" w:hAnsi="Source Sans Pro"/>
        </w:rPr>
      </w:pPr>
    </w:p>
    <w:p w14:paraId="74F2DCA2" w14:textId="77777777" w:rsidR="007A61BE" w:rsidRPr="00CF29BB" w:rsidRDefault="007A61BE" w:rsidP="007A61BE">
      <w:pPr>
        <w:pStyle w:val="Heading2"/>
      </w:pPr>
      <w:bookmarkStart w:id="45" w:name="_Toc518053153"/>
      <w:r w:rsidRPr="00CF29BB">
        <w:t>What is the funding rate for points, and how was it determined?</w:t>
      </w:r>
      <w:bookmarkEnd w:id="45"/>
    </w:p>
    <w:p w14:paraId="24071BFA" w14:textId="77777777" w:rsidR="007A61BE" w:rsidRPr="00CF29BB" w:rsidRDefault="007A61BE" w:rsidP="007A61BE">
      <w:pPr>
        <w:spacing w:after="0"/>
        <w:ind w:left="540" w:right="0" w:firstLine="0"/>
        <w:rPr>
          <w:rFonts w:ascii="Source Sans Pro" w:hAnsi="Source Sans Pro"/>
        </w:rPr>
      </w:pPr>
    </w:p>
    <w:p w14:paraId="3FC919AA" w14:textId="77777777" w:rsidR="007A61BE" w:rsidRPr="00032D30" w:rsidRDefault="007A61BE" w:rsidP="003C006C">
      <w:pPr>
        <w:spacing w:after="0"/>
        <w:ind w:left="442" w:right="0"/>
        <w:rPr>
          <w:rFonts w:ascii="Source Sans Pro" w:hAnsi="Source Sans Pro"/>
        </w:rPr>
      </w:pPr>
      <w:r w:rsidRPr="003C006C">
        <w:rPr>
          <w:rFonts w:ascii="Source Sans Pro" w:hAnsi="Source Sans Pro"/>
        </w:rPr>
        <w:t xml:space="preserve">In </w:t>
      </w:r>
      <w:r w:rsidR="000220FE" w:rsidRPr="003C006C">
        <w:rPr>
          <w:rFonts w:ascii="Source Sans Pro" w:hAnsi="Source Sans Pro"/>
        </w:rPr>
        <w:t>2018-19</w:t>
      </w:r>
      <w:r w:rsidRPr="003C006C">
        <w:rPr>
          <w:rFonts w:ascii="Source Sans Pro" w:hAnsi="Source Sans Pro"/>
        </w:rPr>
        <w:t xml:space="preserve">, the rate for all </w:t>
      </w:r>
      <w:r w:rsidR="008E5041">
        <w:rPr>
          <w:rFonts w:ascii="Source Sans Pro" w:hAnsi="Source Sans Pro"/>
        </w:rPr>
        <w:t>outcomes</w:t>
      </w:r>
      <w:r w:rsidRPr="00032D30">
        <w:rPr>
          <w:rFonts w:ascii="Source Sans Pro" w:hAnsi="Source Sans Pro"/>
        </w:rPr>
        <w:t xml:space="preserve"> is $440 per point. For Pell and </w:t>
      </w:r>
      <w:r w:rsidR="003A0C3F" w:rsidRPr="00032D30">
        <w:rPr>
          <w:rFonts w:ascii="Source Sans Pro" w:hAnsi="Source Sans Pro"/>
        </w:rPr>
        <w:t xml:space="preserve">College </w:t>
      </w:r>
      <w:r w:rsidRPr="00032D30">
        <w:rPr>
          <w:rFonts w:ascii="Source Sans Pro" w:hAnsi="Source Sans Pro"/>
        </w:rPr>
        <w:t>Promise student</w:t>
      </w:r>
      <w:r w:rsidR="008E5041">
        <w:rPr>
          <w:rFonts w:ascii="Source Sans Pro" w:hAnsi="Source Sans Pro"/>
        </w:rPr>
        <w:t xml:space="preserve"> outcomes</w:t>
      </w:r>
      <w:r w:rsidRPr="00032D30">
        <w:rPr>
          <w:rFonts w:ascii="Source Sans Pro" w:hAnsi="Source Sans Pro"/>
        </w:rPr>
        <w:t>, it is an additional $111 dollars per point.</w:t>
      </w:r>
    </w:p>
    <w:p w14:paraId="20EA726A" w14:textId="77777777" w:rsidR="00F97CE2" w:rsidRPr="00CF29BB" w:rsidRDefault="00F97CE2" w:rsidP="00032D30">
      <w:pPr>
        <w:pStyle w:val="ListParagraph"/>
        <w:spacing w:after="0"/>
        <w:ind w:left="468" w:right="0" w:firstLine="0"/>
        <w:rPr>
          <w:rFonts w:ascii="Source Sans Pro" w:hAnsi="Source Sans Pro"/>
        </w:rPr>
      </w:pPr>
    </w:p>
    <w:p w14:paraId="5D341650" w14:textId="77777777" w:rsidR="007A61BE" w:rsidRPr="003C006C" w:rsidRDefault="007A61BE" w:rsidP="003C006C">
      <w:pPr>
        <w:spacing w:after="0"/>
        <w:ind w:left="468" w:right="0" w:firstLine="0"/>
        <w:rPr>
          <w:rFonts w:ascii="Source Sans Pro" w:hAnsi="Source Sans Pro"/>
        </w:rPr>
      </w:pPr>
      <w:r w:rsidRPr="003C006C">
        <w:rPr>
          <w:rFonts w:ascii="Source Sans Pro" w:hAnsi="Source Sans Pro"/>
        </w:rPr>
        <w:t xml:space="preserve">In </w:t>
      </w:r>
      <w:r w:rsidR="000220FE" w:rsidRPr="003C006C">
        <w:rPr>
          <w:rFonts w:ascii="Source Sans Pro" w:hAnsi="Source Sans Pro"/>
        </w:rPr>
        <w:t>2019-20</w:t>
      </w:r>
      <w:r w:rsidRPr="003C006C">
        <w:rPr>
          <w:rFonts w:ascii="Source Sans Pro" w:hAnsi="Source Sans Pro"/>
        </w:rPr>
        <w:t xml:space="preserve">, the rate for all </w:t>
      </w:r>
      <w:r w:rsidR="008E5041">
        <w:rPr>
          <w:rFonts w:ascii="Source Sans Pro" w:hAnsi="Source Sans Pro"/>
        </w:rPr>
        <w:t>outcomes</w:t>
      </w:r>
      <w:r w:rsidRPr="00032D30">
        <w:rPr>
          <w:rFonts w:ascii="Source Sans Pro" w:hAnsi="Source Sans Pro"/>
        </w:rPr>
        <w:t xml:space="preserve"> is $660 per point. For Pell and </w:t>
      </w:r>
      <w:r w:rsidR="003A0C3F" w:rsidRPr="00032D30">
        <w:rPr>
          <w:rFonts w:ascii="Source Sans Pro" w:hAnsi="Source Sans Pro"/>
        </w:rPr>
        <w:t xml:space="preserve">College </w:t>
      </w:r>
      <w:r w:rsidRPr="00032D30">
        <w:rPr>
          <w:rFonts w:ascii="Source Sans Pro" w:hAnsi="Source Sans Pro"/>
        </w:rPr>
        <w:t>Promise student</w:t>
      </w:r>
      <w:r w:rsidR="008E5041">
        <w:rPr>
          <w:rFonts w:ascii="Source Sans Pro" w:hAnsi="Source Sans Pro"/>
        </w:rPr>
        <w:t xml:space="preserve"> outcomes</w:t>
      </w:r>
      <w:r w:rsidRPr="00032D30">
        <w:rPr>
          <w:rFonts w:ascii="Source Sans Pro" w:hAnsi="Source Sans Pro"/>
        </w:rPr>
        <w:t xml:space="preserve">, it is an additional $167 per point. These rates are to be adjusted for cost of living changes and other base </w:t>
      </w:r>
      <w:r w:rsidRPr="003C006C">
        <w:rPr>
          <w:rFonts w:ascii="Source Sans Pro" w:hAnsi="Source Sans Pro"/>
        </w:rPr>
        <w:t>adjustments.</w:t>
      </w:r>
    </w:p>
    <w:p w14:paraId="3248D1AE" w14:textId="77777777" w:rsidR="00F97CE2" w:rsidRPr="00CF29BB" w:rsidRDefault="00F97CE2" w:rsidP="003C006C">
      <w:pPr>
        <w:spacing w:after="0"/>
        <w:ind w:left="468" w:right="0" w:firstLine="0"/>
        <w:rPr>
          <w:rFonts w:ascii="Source Sans Pro" w:hAnsi="Source Sans Pro"/>
        </w:rPr>
      </w:pPr>
    </w:p>
    <w:p w14:paraId="2EA0D927" w14:textId="77777777" w:rsidR="007A61BE" w:rsidRPr="00032D30" w:rsidRDefault="007A61BE" w:rsidP="003C006C">
      <w:pPr>
        <w:spacing w:after="0"/>
        <w:ind w:left="468" w:right="0" w:firstLine="0"/>
        <w:rPr>
          <w:rFonts w:ascii="Source Sans Pro" w:hAnsi="Source Sans Pro"/>
        </w:rPr>
      </w:pPr>
      <w:r w:rsidRPr="003C006C">
        <w:rPr>
          <w:rFonts w:ascii="Source Sans Pro" w:hAnsi="Source Sans Pro"/>
        </w:rPr>
        <w:t xml:space="preserve">In </w:t>
      </w:r>
      <w:r w:rsidR="000220FE" w:rsidRPr="003C006C">
        <w:rPr>
          <w:rFonts w:ascii="Source Sans Pro" w:hAnsi="Source Sans Pro"/>
        </w:rPr>
        <w:t>2020-21</w:t>
      </w:r>
      <w:r w:rsidRPr="003C006C">
        <w:rPr>
          <w:rFonts w:ascii="Source Sans Pro" w:hAnsi="Source Sans Pro"/>
        </w:rPr>
        <w:t xml:space="preserve">, the rate for all </w:t>
      </w:r>
      <w:r w:rsidR="008E5041">
        <w:rPr>
          <w:rFonts w:ascii="Source Sans Pro" w:hAnsi="Source Sans Pro"/>
        </w:rPr>
        <w:t>outcomes</w:t>
      </w:r>
      <w:r w:rsidRPr="003C006C">
        <w:rPr>
          <w:rFonts w:ascii="Source Sans Pro" w:hAnsi="Source Sans Pro"/>
        </w:rPr>
        <w:t xml:space="preserve"> is $880 per point. For Pell and </w:t>
      </w:r>
      <w:r w:rsidR="003A0C3F" w:rsidRPr="003C006C">
        <w:rPr>
          <w:rFonts w:ascii="Source Sans Pro" w:hAnsi="Source Sans Pro"/>
        </w:rPr>
        <w:t xml:space="preserve">College </w:t>
      </w:r>
      <w:r w:rsidRPr="003C006C">
        <w:rPr>
          <w:rFonts w:ascii="Source Sans Pro" w:hAnsi="Source Sans Pro"/>
        </w:rPr>
        <w:t>Promise student</w:t>
      </w:r>
      <w:r w:rsidR="008E5041">
        <w:rPr>
          <w:rFonts w:ascii="Source Sans Pro" w:hAnsi="Source Sans Pro"/>
        </w:rPr>
        <w:t xml:space="preserve"> outcomes</w:t>
      </w:r>
      <w:r w:rsidRPr="00032D30">
        <w:rPr>
          <w:rFonts w:ascii="Source Sans Pro" w:hAnsi="Source Sans Pro"/>
        </w:rPr>
        <w:t>, it is an additional $222 per point. These rates are to be adjusted for cost of living changes and other base adjustments, in both the current year and prior year.</w:t>
      </w:r>
    </w:p>
    <w:p w14:paraId="6BB777F2" w14:textId="77777777" w:rsidR="007A61BE" w:rsidRPr="00CF29BB" w:rsidRDefault="007A61BE" w:rsidP="007A61BE">
      <w:pPr>
        <w:spacing w:after="0"/>
        <w:ind w:left="540" w:right="0" w:firstLine="0"/>
        <w:rPr>
          <w:rFonts w:ascii="Source Sans Pro" w:hAnsi="Source Sans Pro"/>
          <w:sz w:val="16"/>
        </w:rPr>
      </w:pPr>
      <w:r w:rsidRPr="00CF29BB">
        <w:rPr>
          <w:rFonts w:ascii="Source Sans Pro" w:hAnsi="Source Sans Pro"/>
          <w:sz w:val="16"/>
        </w:rPr>
        <w:t xml:space="preserve"> </w:t>
      </w:r>
    </w:p>
    <w:p w14:paraId="78816364" w14:textId="77777777" w:rsidR="007A61BE" w:rsidRPr="00CF29BB" w:rsidRDefault="007A61BE" w:rsidP="007A61BE">
      <w:pPr>
        <w:pStyle w:val="Heading2"/>
      </w:pPr>
      <w:bookmarkStart w:id="46" w:name="_Toc518053154"/>
      <w:r w:rsidRPr="00CF29BB">
        <w:rPr>
          <w:rFonts w:eastAsia="Calibri"/>
        </w:rPr>
        <w:t>Which year’s data is used in calculations?</w:t>
      </w:r>
      <w:bookmarkEnd w:id="46"/>
      <w:r w:rsidRPr="00CF29BB">
        <w:rPr>
          <w:rFonts w:eastAsia="Calibri"/>
        </w:rPr>
        <w:t xml:space="preserve"> </w:t>
      </w:r>
    </w:p>
    <w:p w14:paraId="16CEE380" w14:textId="77777777" w:rsidR="007A61BE" w:rsidRPr="00CF29BB" w:rsidRDefault="00367348" w:rsidP="007A61BE">
      <w:pPr>
        <w:ind w:left="499" w:right="0"/>
        <w:rPr>
          <w:rFonts w:ascii="Source Sans Pro" w:hAnsi="Source Sans Pro"/>
        </w:rPr>
      </w:pPr>
      <w:r>
        <w:rPr>
          <w:rFonts w:ascii="Source Sans Pro" w:hAnsi="Source Sans Pro"/>
        </w:rPr>
        <w:t>The Student Success Allocation is calculated using p</w:t>
      </w:r>
      <w:r w:rsidR="003F0F67">
        <w:rPr>
          <w:rFonts w:ascii="Source Sans Pro" w:hAnsi="Source Sans Pro"/>
        </w:rPr>
        <w:t>rior</w:t>
      </w:r>
      <w:r>
        <w:rPr>
          <w:rFonts w:ascii="Source Sans Pro" w:hAnsi="Source Sans Pro"/>
        </w:rPr>
        <w:t>-year data. For 2018-19 funding, the SCFF uses 2017-18 data.</w:t>
      </w:r>
    </w:p>
    <w:p w14:paraId="19FA55D5" w14:textId="77777777" w:rsidR="001F7C91" w:rsidRPr="00CF29BB" w:rsidRDefault="001F7C91" w:rsidP="00C65629">
      <w:pPr>
        <w:pStyle w:val="Heading1"/>
        <w:rPr>
          <w:rFonts w:ascii="Source Sans Pro" w:hAnsi="Source Sans Pro"/>
        </w:rPr>
      </w:pPr>
      <w:bookmarkStart w:id="47" w:name="_Toc536798195"/>
      <w:r w:rsidRPr="00CF29BB">
        <w:rPr>
          <w:rFonts w:ascii="Source Sans Pro" w:hAnsi="Source Sans Pro"/>
        </w:rPr>
        <w:t>Student Success: Transfer</w:t>
      </w:r>
      <w:r w:rsidR="00CA379E">
        <w:rPr>
          <w:rFonts w:ascii="Source Sans Pro" w:hAnsi="Source Sans Pro"/>
        </w:rPr>
        <w:t>-</w:t>
      </w:r>
      <w:r w:rsidRPr="00CF29BB">
        <w:rPr>
          <w:rFonts w:ascii="Source Sans Pro" w:hAnsi="Source Sans Pro"/>
        </w:rPr>
        <w:t xml:space="preserve">Level English and Math </w:t>
      </w:r>
      <w:r w:rsidR="00D127C2" w:rsidRPr="00CF29BB">
        <w:rPr>
          <w:rFonts w:ascii="Source Sans Pro" w:hAnsi="Source Sans Pro"/>
        </w:rPr>
        <w:t>in</w:t>
      </w:r>
      <w:r w:rsidRPr="00CF29BB">
        <w:rPr>
          <w:rFonts w:ascii="Source Sans Pro" w:hAnsi="Source Sans Pro"/>
        </w:rPr>
        <w:t xml:space="preserve"> Year</w:t>
      </w:r>
      <w:r w:rsidR="000011A8">
        <w:rPr>
          <w:rFonts w:ascii="Source Sans Pro" w:hAnsi="Source Sans Pro"/>
        </w:rPr>
        <w:t xml:space="preserve"> </w:t>
      </w:r>
      <w:r w:rsidRPr="00CF29BB">
        <w:rPr>
          <w:rFonts w:ascii="Source Sans Pro" w:hAnsi="Source Sans Pro"/>
        </w:rPr>
        <w:t>One</w:t>
      </w:r>
      <w:bookmarkEnd w:id="47"/>
    </w:p>
    <w:p w14:paraId="33BB85ED" w14:textId="77777777" w:rsidR="001F7C91" w:rsidRPr="00CF29BB" w:rsidRDefault="001F7C91" w:rsidP="001F7C91">
      <w:pPr>
        <w:pStyle w:val="Heading2"/>
      </w:pPr>
      <w:r w:rsidRPr="00CF29BB">
        <w:t xml:space="preserve">Why is it that the </w:t>
      </w:r>
      <w:r w:rsidR="000220FE">
        <w:t>st</w:t>
      </w:r>
      <w:r w:rsidRPr="00CF29BB">
        <w:t xml:space="preserve">udent </w:t>
      </w:r>
      <w:r w:rsidR="000220FE">
        <w:t>s</w:t>
      </w:r>
      <w:r w:rsidRPr="00CF29BB">
        <w:t xml:space="preserve">uccess metrics require completion of </w:t>
      </w:r>
      <w:r w:rsidR="00CA379E">
        <w:t>T</w:t>
      </w:r>
      <w:r w:rsidRPr="00CF29BB">
        <w:t>ransfer</w:t>
      </w:r>
      <w:r w:rsidR="00CA379E">
        <w:t>-L</w:t>
      </w:r>
      <w:r w:rsidRPr="00CF29BB">
        <w:t xml:space="preserve">evel </w:t>
      </w:r>
      <w:r w:rsidR="00E432A2">
        <w:t>m</w:t>
      </w:r>
      <w:r w:rsidRPr="00CF29BB">
        <w:t>ath and English in the first year</w:t>
      </w:r>
      <w:r w:rsidR="00F16E27" w:rsidRPr="00CF29BB">
        <w:t xml:space="preserve"> at the district</w:t>
      </w:r>
      <w:r w:rsidRPr="00CF29BB">
        <w:t xml:space="preserve">? </w:t>
      </w:r>
    </w:p>
    <w:p w14:paraId="3C0D9BC1" w14:textId="77777777" w:rsidR="001F7C91" w:rsidRPr="00CF29BB" w:rsidRDefault="001F7C91" w:rsidP="001F7C91">
      <w:pPr>
        <w:rPr>
          <w:rFonts w:ascii="Source Sans Pro" w:hAnsi="Source Sans Pro"/>
        </w:rPr>
      </w:pPr>
      <w:r w:rsidRPr="00CF29BB">
        <w:rPr>
          <w:rFonts w:ascii="Source Sans Pro" w:hAnsi="Source Sans Pro"/>
        </w:rPr>
        <w:t xml:space="preserve">Completing </w:t>
      </w:r>
      <w:r w:rsidR="00CA379E">
        <w:rPr>
          <w:rFonts w:ascii="Source Sans Pro" w:hAnsi="Source Sans Pro"/>
        </w:rPr>
        <w:t>Transfer-Level</w:t>
      </w:r>
      <w:r w:rsidRPr="00CF29BB">
        <w:rPr>
          <w:rFonts w:ascii="Source Sans Pro" w:hAnsi="Source Sans Pro"/>
        </w:rPr>
        <w:t xml:space="preserve"> English and </w:t>
      </w:r>
      <w:r w:rsidR="00E432A2">
        <w:rPr>
          <w:rFonts w:ascii="Source Sans Pro" w:hAnsi="Source Sans Pro"/>
        </w:rPr>
        <w:t>m</w:t>
      </w:r>
      <w:r w:rsidRPr="00CF29BB">
        <w:rPr>
          <w:rFonts w:ascii="Source Sans Pro" w:hAnsi="Source Sans Pro"/>
        </w:rPr>
        <w:t>ath early in a student’s college career allows them to gain access to more upper</w:t>
      </w:r>
      <w:r w:rsidR="006721EF">
        <w:rPr>
          <w:rFonts w:ascii="Source Sans Pro" w:hAnsi="Source Sans Pro"/>
        </w:rPr>
        <w:t>-</w:t>
      </w:r>
      <w:r w:rsidRPr="00CF29BB">
        <w:rPr>
          <w:rFonts w:ascii="Source Sans Pro" w:hAnsi="Source Sans Pro"/>
        </w:rPr>
        <w:t>level courses and has been associated with more timely college completion and transfer.</w:t>
      </w:r>
    </w:p>
    <w:p w14:paraId="711D1FF7" w14:textId="77777777" w:rsidR="00A4723C" w:rsidRPr="00CF29BB" w:rsidRDefault="00A4723C" w:rsidP="001F7C91">
      <w:pPr>
        <w:pStyle w:val="Heading2"/>
      </w:pPr>
      <w:r w:rsidRPr="00CF29BB">
        <w:t>If AB</w:t>
      </w:r>
      <w:r w:rsidR="005F7A12">
        <w:t xml:space="preserve"> </w:t>
      </w:r>
      <w:r w:rsidRPr="00CF29BB">
        <w:t xml:space="preserve">705 requires that students complete </w:t>
      </w:r>
      <w:r w:rsidR="00CA379E">
        <w:t>Transfer-Level</w:t>
      </w:r>
      <w:r w:rsidRPr="00CF29BB">
        <w:t xml:space="preserve"> English and </w:t>
      </w:r>
      <w:r w:rsidR="00E432A2">
        <w:t>m</w:t>
      </w:r>
      <w:r w:rsidRPr="00CF29BB">
        <w:t>ath in one year, why does the SCFF specify completion in the first year?</w:t>
      </w:r>
    </w:p>
    <w:p w14:paraId="0560334E" w14:textId="77777777" w:rsidR="00A4723C" w:rsidRPr="00CF29BB" w:rsidRDefault="00A4723C" w:rsidP="00F63843">
      <w:pPr>
        <w:ind w:left="432" w:firstLine="0"/>
        <w:rPr>
          <w:rFonts w:ascii="Source Sans Pro" w:hAnsi="Source Sans Pro"/>
        </w:rPr>
      </w:pPr>
      <w:r w:rsidRPr="00CF29BB">
        <w:rPr>
          <w:rFonts w:ascii="Source Sans Pro" w:hAnsi="Source Sans Pro"/>
        </w:rPr>
        <w:t>AB705 represents the minimum standard of the law</w:t>
      </w:r>
      <w:r w:rsidR="005F7A12">
        <w:rPr>
          <w:rFonts w:ascii="Source Sans Pro" w:hAnsi="Source Sans Pro"/>
        </w:rPr>
        <w:t>. The</w:t>
      </w:r>
      <w:r w:rsidRPr="00CF29BB">
        <w:rPr>
          <w:rFonts w:ascii="Source Sans Pro" w:hAnsi="Source Sans Pro"/>
        </w:rPr>
        <w:t xml:space="preserve"> SCFF </w:t>
      </w:r>
      <w:r w:rsidR="005F7A12">
        <w:rPr>
          <w:rFonts w:ascii="Source Sans Pro" w:hAnsi="Source Sans Pro"/>
        </w:rPr>
        <w:t>encourages practices that exceed</w:t>
      </w:r>
      <w:r w:rsidRPr="00CF29BB">
        <w:rPr>
          <w:rFonts w:ascii="Source Sans Pro" w:hAnsi="Source Sans Pro"/>
        </w:rPr>
        <w:t xml:space="preserve"> minimum compliance.</w:t>
      </w:r>
    </w:p>
    <w:p w14:paraId="569CF274" w14:textId="77777777" w:rsidR="001F7C91" w:rsidRPr="00CF29BB" w:rsidRDefault="001F7C91" w:rsidP="001F7C91">
      <w:pPr>
        <w:pStyle w:val="Heading2"/>
      </w:pPr>
      <w:r w:rsidRPr="00CF29BB">
        <w:lastRenderedPageBreak/>
        <w:t>When does the first year start and end</w:t>
      </w:r>
      <w:r w:rsidR="00F16E27" w:rsidRPr="00CF29BB">
        <w:t>?</w:t>
      </w:r>
      <w:r w:rsidR="00C65629" w:rsidRPr="00CF29BB">
        <w:t xml:space="preserve"> </w:t>
      </w:r>
      <w:r w:rsidR="00F16E27" w:rsidRPr="00CF29BB">
        <w:t>I</w:t>
      </w:r>
      <w:r w:rsidRPr="00CF29BB">
        <w:t>f a student starts in Spring</w:t>
      </w:r>
      <w:r w:rsidR="000011A8">
        <w:t>,</w:t>
      </w:r>
      <w:r w:rsidRPr="00CF29BB">
        <w:t xml:space="preserve"> do they have one year from the time they started</w:t>
      </w:r>
      <w:r w:rsidR="009E6524">
        <w:t>,</w:t>
      </w:r>
      <w:r w:rsidRPr="00CF29BB">
        <w:t xml:space="preserve"> or do they still need to complete both </w:t>
      </w:r>
      <w:r w:rsidR="00CA379E">
        <w:t>Transfer-Level</w:t>
      </w:r>
      <w:r w:rsidR="00C65629" w:rsidRPr="00CF29BB">
        <w:t xml:space="preserve"> English and</w:t>
      </w:r>
      <w:r w:rsidR="00F16E27" w:rsidRPr="00CF29BB">
        <w:t xml:space="preserve"> math </w:t>
      </w:r>
      <w:r w:rsidRPr="00CF29BB">
        <w:t xml:space="preserve">by the end of Spring term? </w:t>
      </w:r>
    </w:p>
    <w:p w14:paraId="5E0E320B" w14:textId="77777777" w:rsidR="001F7C91" w:rsidRPr="00CF29BB" w:rsidRDefault="001F7C91" w:rsidP="001F7C91">
      <w:pPr>
        <w:rPr>
          <w:rFonts w:ascii="Source Sans Pro" w:hAnsi="Source Sans Pro"/>
        </w:rPr>
      </w:pPr>
      <w:r w:rsidRPr="00CF29BB">
        <w:rPr>
          <w:rFonts w:ascii="Source Sans Pro" w:hAnsi="Source Sans Pro"/>
        </w:rPr>
        <w:t xml:space="preserve">Funding is based on outcome data for the prior </w:t>
      </w:r>
      <w:r w:rsidR="00F16E27" w:rsidRPr="00CF29BB">
        <w:rPr>
          <w:rFonts w:ascii="Source Sans Pro" w:hAnsi="Source Sans Pro"/>
        </w:rPr>
        <w:t xml:space="preserve">academic </w:t>
      </w:r>
      <w:r w:rsidRPr="00CF29BB">
        <w:rPr>
          <w:rFonts w:ascii="Source Sans Pro" w:hAnsi="Source Sans Pro"/>
        </w:rPr>
        <w:t>year</w:t>
      </w:r>
      <w:r w:rsidR="00F16E27" w:rsidRPr="00CF29BB">
        <w:rPr>
          <w:rFonts w:ascii="Source Sans Pro" w:hAnsi="Source Sans Pro"/>
        </w:rPr>
        <w:t>, which is</w:t>
      </w:r>
      <w:r w:rsidRPr="00CF29BB">
        <w:rPr>
          <w:rFonts w:ascii="Source Sans Pro" w:hAnsi="Source Sans Pro"/>
        </w:rPr>
        <w:t xml:space="preserve"> Summer, Fall, Winter, Spring. Because the </w:t>
      </w:r>
      <w:r w:rsidR="000011A8">
        <w:rPr>
          <w:rFonts w:ascii="Source Sans Pro" w:hAnsi="Source Sans Pro"/>
        </w:rPr>
        <w:t>outcome</w:t>
      </w:r>
      <w:r w:rsidRPr="00CF29BB">
        <w:rPr>
          <w:rFonts w:ascii="Source Sans Pro" w:hAnsi="Source Sans Pro"/>
        </w:rPr>
        <w:t xml:space="preserve"> </w:t>
      </w:r>
      <w:r w:rsidR="000011A8">
        <w:rPr>
          <w:rFonts w:ascii="Source Sans Pro" w:hAnsi="Source Sans Pro"/>
        </w:rPr>
        <w:t>is</w:t>
      </w:r>
      <w:r w:rsidRPr="00CF29BB">
        <w:rPr>
          <w:rFonts w:ascii="Source Sans Pro" w:hAnsi="Source Sans Pro"/>
        </w:rPr>
        <w:t xml:space="preserve"> calculated based on the prior academic year data</w:t>
      </w:r>
      <w:r w:rsidR="000011A8">
        <w:rPr>
          <w:rFonts w:ascii="Source Sans Pro" w:hAnsi="Source Sans Pro"/>
        </w:rPr>
        <w:t>,</w:t>
      </w:r>
      <w:r w:rsidRPr="00CF29BB">
        <w:rPr>
          <w:rFonts w:ascii="Source Sans Pro" w:hAnsi="Source Sans Pro"/>
        </w:rPr>
        <w:t xml:space="preserve"> a student who started in the Spring term would need to complete both </w:t>
      </w:r>
      <w:r w:rsidR="00CA379E">
        <w:rPr>
          <w:rFonts w:ascii="Source Sans Pro" w:hAnsi="Source Sans Pro"/>
        </w:rPr>
        <w:t>Transfer-Level</w:t>
      </w:r>
      <w:r w:rsidRPr="00CF29BB">
        <w:rPr>
          <w:rFonts w:ascii="Source Sans Pro" w:hAnsi="Source Sans Pro"/>
        </w:rPr>
        <w:t xml:space="preserve"> English and </w:t>
      </w:r>
      <w:r w:rsidR="00E432A2">
        <w:rPr>
          <w:rFonts w:ascii="Source Sans Pro" w:hAnsi="Source Sans Pro"/>
        </w:rPr>
        <w:t>m</w:t>
      </w:r>
      <w:r w:rsidRPr="00CF29BB">
        <w:rPr>
          <w:rFonts w:ascii="Source Sans Pro" w:hAnsi="Source Sans Pro"/>
        </w:rPr>
        <w:t xml:space="preserve">ath in that term in order to be counted </w:t>
      </w:r>
      <w:r w:rsidR="009E6524">
        <w:rPr>
          <w:rFonts w:ascii="Source Sans Pro" w:hAnsi="Source Sans Pro"/>
        </w:rPr>
        <w:t>in a district’s SCFF funding</w:t>
      </w:r>
      <w:r w:rsidRPr="00CF29BB">
        <w:rPr>
          <w:rFonts w:ascii="Source Sans Pro" w:hAnsi="Source Sans Pro"/>
        </w:rPr>
        <w:t xml:space="preserve">. </w:t>
      </w:r>
    </w:p>
    <w:p w14:paraId="61A2AB08" w14:textId="77777777" w:rsidR="001F7C91" w:rsidRPr="00CF29BB" w:rsidRDefault="001F7C91" w:rsidP="006B1E7A">
      <w:pPr>
        <w:pStyle w:val="Heading2"/>
        <w:ind w:left="540" w:hanging="540"/>
      </w:pPr>
      <w:r w:rsidRPr="00CF29BB">
        <w:t xml:space="preserve">Do </w:t>
      </w:r>
      <w:r w:rsidR="00CA379E">
        <w:t>S</w:t>
      </w:r>
      <w:r w:rsidR="00EE0B29">
        <w:t xml:space="preserve">pecial </w:t>
      </w:r>
      <w:r w:rsidR="00CA379E">
        <w:t>A</w:t>
      </w:r>
      <w:r w:rsidR="00EE0B29">
        <w:t>dmit</w:t>
      </w:r>
      <w:r w:rsidRPr="00CF29BB">
        <w:t xml:space="preserve"> students get </w:t>
      </w:r>
      <w:r w:rsidR="00790775">
        <w:t>student s</w:t>
      </w:r>
      <w:r w:rsidRPr="00CF29BB">
        <w:t xml:space="preserve">uccess points for the completion of </w:t>
      </w:r>
      <w:r w:rsidR="00CA379E">
        <w:t>Transfer-Level</w:t>
      </w:r>
      <w:r w:rsidRPr="00CF29BB">
        <w:t xml:space="preserve"> </w:t>
      </w:r>
      <w:r w:rsidR="00E432A2">
        <w:t>m</w:t>
      </w:r>
      <w:r w:rsidRPr="00CF29BB">
        <w:t>ath and English</w:t>
      </w:r>
      <w:r w:rsidR="006B1E7A" w:rsidRPr="00CF29BB">
        <w:t xml:space="preserve">? </w:t>
      </w:r>
    </w:p>
    <w:p w14:paraId="38884658" w14:textId="77777777" w:rsidR="00626122" w:rsidRPr="00CF29BB" w:rsidRDefault="00F63843" w:rsidP="00626122">
      <w:pPr>
        <w:rPr>
          <w:rFonts w:ascii="Source Sans Pro" w:hAnsi="Source Sans Pro"/>
        </w:rPr>
      </w:pPr>
      <w:r>
        <w:rPr>
          <w:rFonts w:ascii="Source Sans Pro" w:hAnsi="Source Sans Pro"/>
        </w:rPr>
        <w:t>T</w:t>
      </w:r>
      <w:r w:rsidR="009E6524">
        <w:rPr>
          <w:rFonts w:ascii="Source Sans Pro" w:hAnsi="Source Sans Pro"/>
        </w:rPr>
        <w:t xml:space="preserve">he statute specifies that a district is funded based on counts of students who complete within the first </w:t>
      </w:r>
      <w:r w:rsidR="000011A8">
        <w:rPr>
          <w:rFonts w:ascii="Source Sans Pro" w:hAnsi="Source Sans Pro"/>
        </w:rPr>
        <w:t xml:space="preserve">academic </w:t>
      </w:r>
      <w:r w:rsidR="009E6524">
        <w:rPr>
          <w:rFonts w:ascii="Source Sans Pro" w:hAnsi="Source Sans Pro"/>
        </w:rPr>
        <w:t>year of enrollment. For that reason, special admit students are not counted</w:t>
      </w:r>
      <w:r w:rsidR="009E6524" w:rsidRPr="00CF29BB">
        <w:rPr>
          <w:rFonts w:ascii="Source Sans Pro" w:hAnsi="Source Sans Pro"/>
        </w:rPr>
        <w:t>.</w:t>
      </w:r>
      <w:r w:rsidR="009E6524" w:rsidRPr="00CF29BB">
        <w:rPr>
          <w:rFonts w:ascii="Source Sans Pro" w:hAnsi="Source Sans Pro"/>
          <w:b/>
        </w:rPr>
        <w:t xml:space="preserve"> </w:t>
      </w:r>
      <w:r w:rsidR="00E92B64" w:rsidRPr="00CF29BB">
        <w:rPr>
          <w:rFonts w:ascii="Source Sans Pro" w:hAnsi="Source Sans Pro"/>
        </w:rPr>
        <w:t>The Chancellor’s Office is aware of the concerns related to this issue and is actively exploring potential revisions.</w:t>
      </w:r>
    </w:p>
    <w:p w14:paraId="5EFF8225" w14:textId="77777777" w:rsidR="001F7C91" w:rsidRPr="00CF29BB" w:rsidRDefault="001F7C91" w:rsidP="00626122">
      <w:pPr>
        <w:pStyle w:val="Heading1"/>
        <w:rPr>
          <w:rFonts w:ascii="Source Sans Pro" w:hAnsi="Source Sans Pro"/>
        </w:rPr>
      </w:pPr>
      <w:bookmarkStart w:id="48" w:name="_Toc536798196"/>
      <w:r w:rsidRPr="00CF29BB">
        <w:rPr>
          <w:rFonts w:ascii="Source Sans Pro" w:hAnsi="Source Sans Pro"/>
        </w:rPr>
        <w:t xml:space="preserve">Student Success: </w:t>
      </w:r>
      <w:r w:rsidR="00F35274">
        <w:rPr>
          <w:rFonts w:ascii="Source Sans Pro" w:hAnsi="Source Sans Pro"/>
        </w:rPr>
        <w:t>N</w:t>
      </w:r>
      <w:r w:rsidR="00FD75DA">
        <w:rPr>
          <w:rFonts w:ascii="Source Sans Pro" w:hAnsi="Source Sans Pro"/>
        </w:rPr>
        <w:t>ine CTE</w:t>
      </w:r>
      <w:r w:rsidRPr="00CF29BB">
        <w:rPr>
          <w:rFonts w:ascii="Source Sans Pro" w:hAnsi="Source Sans Pro"/>
        </w:rPr>
        <w:t xml:space="preserve"> Credits</w:t>
      </w:r>
      <w:bookmarkEnd w:id="48"/>
    </w:p>
    <w:p w14:paraId="0B30C007" w14:textId="77777777" w:rsidR="001F7C91" w:rsidRPr="00CF29BB" w:rsidRDefault="001F7C91" w:rsidP="001F7C91">
      <w:pPr>
        <w:pStyle w:val="Heading2"/>
      </w:pPr>
      <w:r w:rsidRPr="00CF29BB">
        <w:t xml:space="preserve">Do the </w:t>
      </w:r>
      <w:r w:rsidR="006721EF">
        <w:t>n</w:t>
      </w:r>
      <w:r w:rsidR="00CA379E">
        <w:t>ine plus</w:t>
      </w:r>
      <w:r w:rsidRPr="00CF29BB">
        <w:t xml:space="preserve"> CTE units in the </w:t>
      </w:r>
      <w:r w:rsidR="00B53386" w:rsidRPr="00CF29BB">
        <w:t>S</w:t>
      </w:r>
      <w:r w:rsidR="00790775">
        <w:t>tudent S</w:t>
      </w:r>
      <w:r w:rsidR="00B53386" w:rsidRPr="00CF29BB">
        <w:t>uccess Allocation</w:t>
      </w:r>
      <w:r w:rsidRPr="00CF29BB">
        <w:t xml:space="preserve"> have to be in the same/similar discipl</w:t>
      </w:r>
      <w:r w:rsidR="009E6524">
        <w:t>in</w:t>
      </w:r>
      <w:r w:rsidRPr="00CF29BB">
        <w:t>e or TOP code?</w:t>
      </w:r>
    </w:p>
    <w:p w14:paraId="68438650" w14:textId="77777777" w:rsidR="001F7C91" w:rsidRPr="00CF29BB" w:rsidRDefault="006B1E7A" w:rsidP="00F63843">
      <w:pPr>
        <w:rPr>
          <w:rFonts w:ascii="Source Sans Pro" w:hAnsi="Source Sans Pro"/>
          <w:color w:val="002F6D"/>
        </w:rPr>
      </w:pPr>
      <w:r w:rsidRPr="00CF29BB">
        <w:rPr>
          <w:rFonts w:ascii="Source Sans Pro" w:hAnsi="Source Sans Pro"/>
        </w:rPr>
        <w:t>No.</w:t>
      </w:r>
    </w:p>
    <w:p w14:paraId="018486A1" w14:textId="77777777" w:rsidR="001F7C91" w:rsidRPr="00CF29BB" w:rsidRDefault="001F7C91" w:rsidP="001F7C91">
      <w:pPr>
        <w:pStyle w:val="Heading2"/>
      </w:pPr>
      <w:r w:rsidRPr="00CF29BB">
        <w:t xml:space="preserve">What are the minimum number of units to be counted as a transfer student? Is this calculated at the college level or the district level? </w:t>
      </w:r>
    </w:p>
    <w:p w14:paraId="542D809D" w14:textId="77777777" w:rsidR="00443BA0" w:rsidRPr="00CF29BB" w:rsidRDefault="009E6524" w:rsidP="001F7C91">
      <w:pPr>
        <w:rPr>
          <w:rFonts w:ascii="Source Sans Pro" w:hAnsi="Source Sans Pro"/>
        </w:rPr>
      </w:pPr>
      <w:r>
        <w:rPr>
          <w:rFonts w:ascii="Source Sans Pro" w:hAnsi="Source Sans Pro"/>
        </w:rPr>
        <w:t>All student success</w:t>
      </w:r>
      <w:r w:rsidR="005F253C" w:rsidRPr="00CF29BB">
        <w:rPr>
          <w:rFonts w:ascii="Source Sans Pro" w:hAnsi="Source Sans Pro"/>
        </w:rPr>
        <w:t xml:space="preserve"> metrics are calculated at the district level. </w:t>
      </w:r>
      <w:r w:rsidR="001F7C91" w:rsidRPr="00CF29BB">
        <w:rPr>
          <w:rFonts w:ascii="Source Sans Pro" w:hAnsi="Source Sans Pro"/>
        </w:rPr>
        <w:t>To be counted as a successful transfer</w:t>
      </w:r>
      <w:r>
        <w:rPr>
          <w:rFonts w:ascii="Source Sans Pro" w:hAnsi="Source Sans Pro"/>
        </w:rPr>
        <w:t xml:space="preserve">, </w:t>
      </w:r>
      <w:r w:rsidR="001F7C91" w:rsidRPr="00CF29BB">
        <w:rPr>
          <w:rFonts w:ascii="Source Sans Pro" w:hAnsi="Source Sans Pro"/>
        </w:rPr>
        <w:t>the student must earn 12 or more units prior to transfer</w:t>
      </w:r>
      <w:r w:rsidR="005F253C" w:rsidRPr="00CF29BB">
        <w:rPr>
          <w:rFonts w:ascii="Source Sans Pro" w:hAnsi="Source Sans Pro"/>
        </w:rPr>
        <w:t>, anywhere and at any time in the system</w:t>
      </w:r>
      <w:r w:rsidR="001F7C91" w:rsidRPr="00CF29BB">
        <w:rPr>
          <w:rFonts w:ascii="Source Sans Pro" w:hAnsi="Source Sans Pro"/>
        </w:rPr>
        <w:t>. While a student may complete</w:t>
      </w:r>
      <w:r w:rsidR="005F253C" w:rsidRPr="00CF29BB">
        <w:rPr>
          <w:rFonts w:ascii="Source Sans Pro" w:hAnsi="Source Sans Pro"/>
        </w:rPr>
        <w:t xml:space="preserve"> the</w:t>
      </w:r>
      <w:r w:rsidR="001F7C91" w:rsidRPr="00CF29BB">
        <w:rPr>
          <w:rFonts w:ascii="Source Sans Pro" w:hAnsi="Source Sans Pro"/>
        </w:rPr>
        <w:t xml:space="preserve"> 12 units at any district</w:t>
      </w:r>
      <w:r w:rsidR="005F253C" w:rsidRPr="00CF29BB">
        <w:rPr>
          <w:rFonts w:ascii="Source Sans Pro" w:hAnsi="Source Sans Pro"/>
        </w:rPr>
        <w:t>,</w:t>
      </w:r>
      <w:r w:rsidR="001F7C91" w:rsidRPr="00CF29BB">
        <w:rPr>
          <w:rFonts w:ascii="Source Sans Pro" w:hAnsi="Source Sans Pro"/>
        </w:rPr>
        <w:t xml:space="preserve"> the transfer outcome only generates success points for the districts </w:t>
      </w:r>
      <w:r w:rsidR="005F253C" w:rsidRPr="00CF29BB">
        <w:rPr>
          <w:rFonts w:ascii="Source Sans Pro" w:hAnsi="Source Sans Pro"/>
        </w:rPr>
        <w:t>where</w:t>
      </w:r>
      <w:r w:rsidR="001F7C91" w:rsidRPr="00CF29BB">
        <w:rPr>
          <w:rFonts w:ascii="Source Sans Pro" w:hAnsi="Source Sans Pro"/>
        </w:rPr>
        <w:t xml:space="preserve"> the student completed credits in the</w:t>
      </w:r>
      <w:r w:rsidR="005F253C" w:rsidRPr="00CF29BB">
        <w:rPr>
          <w:rFonts w:ascii="Source Sans Pro" w:hAnsi="Source Sans Pro"/>
        </w:rPr>
        <w:t>ir</w:t>
      </w:r>
      <w:r w:rsidR="001F7C91" w:rsidRPr="00CF29BB">
        <w:rPr>
          <w:rFonts w:ascii="Source Sans Pro" w:hAnsi="Source Sans Pro"/>
        </w:rPr>
        <w:t xml:space="preserve"> last academic year</w:t>
      </w:r>
      <w:r w:rsidR="005F253C" w:rsidRPr="00CF29BB">
        <w:rPr>
          <w:rFonts w:ascii="Source Sans Pro" w:hAnsi="Source Sans Pro"/>
        </w:rPr>
        <w:t xml:space="preserve"> in the system</w:t>
      </w:r>
      <w:r w:rsidR="001F7C91" w:rsidRPr="00CF29BB">
        <w:rPr>
          <w:rFonts w:ascii="Source Sans Pro" w:hAnsi="Source Sans Pro"/>
        </w:rPr>
        <w:t>.</w:t>
      </w:r>
    </w:p>
    <w:p w14:paraId="70ABF4BB" w14:textId="77777777" w:rsidR="001F7C91" w:rsidRPr="00CF29BB" w:rsidRDefault="001F7C91" w:rsidP="001F7C91">
      <w:pPr>
        <w:pStyle w:val="Heading2"/>
      </w:pPr>
      <w:r w:rsidRPr="00CF29BB">
        <w:t xml:space="preserve">Does the transfer metric exclude </w:t>
      </w:r>
      <w:r w:rsidR="009435DD">
        <w:t>S</w:t>
      </w:r>
      <w:r w:rsidR="00EE0B29">
        <w:t xml:space="preserve">pecial </w:t>
      </w:r>
      <w:r w:rsidR="009435DD">
        <w:t>A</w:t>
      </w:r>
      <w:r w:rsidR="00EE0B29">
        <w:t>dmit</w:t>
      </w:r>
      <w:r w:rsidRPr="00CF29BB">
        <w:t xml:space="preserve">s if they qualify as having earned 12 or more credits at a community college and then show up at a </w:t>
      </w:r>
      <w:r w:rsidR="00790775">
        <w:t>four-year</w:t>
      </w:r>
      <w:r w:rsidRPr="00CF29BB">
        <w:t xml:space="preserve"> institution in the following year? </w:t>
      </w:r>
    </w:p>
    <w:p w14:paraId="0FD88C3E" w14:textId="77777777" w:rsidR="00443BA0" w:rsidRPr="00CF29BB" w:rsidRDefault="009E6524" w:rsidP="00443BA0">
      <w:pPr>
        <w:rPr>
          <w:rFonts w:ascii="Source Sans Pro" w:hAnsi="Source Sans Pro"/>
        </w:rPr>
      </w:pPr>
      <w:r>
        <w:rPr>
          <w:rFonts w:ascii="Source Sans Pro" w:hAnsi="Source Sans Pro"/>
        </w:rPr>
        <w:t>No.</w:t>
      </w:r>
    </w:p>
    <w:p w14:paraId="0188E5FE" w14:textId="77777777" w:rsidR="001F7C91" w:rsidRPr="00CF29BB" w:rsidRDefault="001F7C91" w:rsidP="001F7C91">
      <w:pPr>
        <w:pStyle w:val="Heading2"/>
      </w:pPr>
      <w:r w:rsidRPr="00CF29BB">
        <w:t xml:space="preserve">What happens if after a student transfers to a </w:t>
      </w:r>
      <w:r w:rsidR="00790775">
        <w:t>four-year</w:t>
      </w:r>
      <w:r w:rsidRPr="00CF29BB">
        <w:t xml:space="preserve"> institution they take an additional course at a community college (for example a summer course or a job skills course)? </w:t>
      </w:r>
    </w:p>
    <w:p w14:paraId="7BEBEEFA" w14:textId="77777777" w:rsidR="00443BA0" w:rsidRPr="00CF29BB" w:rsidRDefault="00443BA0" w:rsidP="00443BA0">
      <w:pPr>
        <w:rPr>
          <w:rFonts w:ascii="Source Sans Pro" w:hAnsi="Source Sans Pro"/>
        </w:rPr>
      </w:pPr>
      <w:r w:rsidRPr="00CF29BB">
        <w:rPr>
          <w:rFonts w:ascii="Source Sans Pro" w:hAnsi="Source Sans Pro"/>
        </w:rPr>
        <w:t xml:space="preserve">If a student transfers to a </w:t>
      </w:r>
      <w:r w:rsidR="00790775">
        <w:rPr>
          <w:rFonts w:ascii="Source Sans Pro" w:hAnsi="Source Sans Pro"/>
        </w:rPr>
        <w:t>four-year</w:t>
      </w:r>
      <w:r w:rsidRPr="00CF29BB">
        <w:rPr>
          <w:rFonts w:ascii="Source Sans Pro" w:hAnsi="Source Sans Pro"/>
        </w:rPr>
        <w:t xml:space="preserve"> institution and then takes an additional class at a community college they would not be counted as a successful transfer within </w:t>
      </w:r>
      <w:r w:rsidRPr="00CF29BB">
        <w:rPr>
          <w:rFonts w:ascii="Source Sans Pro" w:hAnsi="Source Sans Pro"/>
          <w:b/>
        </w:rPr>
        <w:t>that</w:t>
      </w:r>
      <w:r w:rsidRPr="00CF29BB">
        <w:rPr>
          <w:rFonts w:ascii="Source Sans Pro" w:hAnsi="Source Sans Pro"/>
        </w:rPr>
        <w:t xml:space="preserve"> academic year but they could be counted as a successful transfer in the </w:t>
      </w:r>
      <w:r w:rsidRPr="00CF29BB">
        <w:rPr>
          <w:rFonts w:ascii="Source Sans Pro" w:hAnsi="Source Sans Pro"/>
          <w:b/>
        </w:rPr>
        <w:t xml:space="preserve">next </w:t>
      </w:r>
      <w:r w:rsidRPr="00CF29BB">
        <w:rPr>
          <w:rFonts w:ascii="Source Sans Pro" w:hAnsi="Source Sans Pro"/>
        </w:rPr>
        <w:t xml:space="preserve">academic year. For example, if a student completes most coursework at the community college in </w:t>
      </w:r>
      <w:r w:rsidR="000220FE">
        <w:rPr>
          <w:rFonts w:ascii="Source Sans Pro" w:hAnsi="Source Sans Pro"/>
        </w:rPr>
        <w:t>201</w:t>
      </w:r>
      <w:r w:rsidR="00D60320">
        <w:rPr>
          <w:rFonts w:ascii="Source Sans Pro" w:hAnsi="Source Sans Pro"/>
        </w:rPr>
        <w:t>7</w:t>
      </w:r>
      <w:r w:rsidR="000220FE">
        <w:rPr>
          <w:rFonts w:ascii="Source Sans Pro" w:hAnsi="Source Sans Pro"/>
        </w:rPr>
        <w:t>-1</w:t>
      </w:r>
      <w:r w:rsidR="00D60320">
        <w:rPr>
          <w:rFonts w:ascii="Source Sans Pro" w:hAnsi="Source Sans Pro"/>
        </w:rPr>
        <w:t>8</w:t>
      </w:r>
      <w:r w:rsidRPr="00CF29BB">
        <w:rPr>
          <w:rFonts w:ascii="Source Sans Pro" w:hAnsi="Source Sans Pro"/>
        </w:rPr>
        <w:t xml:space="preserve"> and transfers to a CSU in the Fall of </w:t>
      </w:r>
      <w:r w:rsidR="000220FE">
        <w:rPr>
          <w:rFonts w:ascii="Source Sans Pro" w:hAnsi="Source Sans Pro"/>
        </w:rPr>
        <w:t>201</w:t>
      </w:r>
      <w:r w:rsidR="00D60320">
        <w:rPr>
          <w:rFonts w:ascii="Source Sans Pro" w:hAnsi="Source Sans Pro"/>
        </w:rPr>
        <w:t>8</w:t>
      </w:r>
      <w:r w:rsidR="000220FE">
        <w:rPr>
          <w:rFonts w:ascii="Source Sans Pro" w:hAnsi="Source Sans Pro"/>
        </w:rPr>
        <w:t>-1</w:t>
      </w:r>
      <w:r w:rsidR="00D60320">
        <w:rPr>
          <w:rFonts w:ascii="Source Sans Pro" w:hAnsi="Source Sans Pro"/>
        </w:rPr>
        <w:t>9</w:t>
      </w:r>
      <w:r w:rsidRPr="00CF29BB">
        <w:rPr>
          <w:rFonts w:ascii="Source Sans Pro" w:hAnsi="Source Sans Pro"/>
        </w:rPr>
        <w:t xml:space="preserve"> but takes one summer course at the community college over the summer prior to starting at the CSU (technically </w:t>
      </w:r>
      <w:r w:rsidRPr="00CF29BB">
        <w:rPr>
          <w:rFonts w:ascii="Source Sans Pro" w:hAnsi="Source Sans Pro"/>
        </w:rPr>
        <w:lastRenderedPageBreak/>
        <w:t xml:space="preserve">that summer would be in the </w:t>
      </w:r>
      <w:r w:rsidR="000220FE">
        <w:rPr>
          <w:rFonts w:ascii="Source Sans Pro" w:hAnsi="Source Sans Pro"/>
        </w:rPr>
        <w:t>201</w:t>
      </w:r>
      <w:r w:rsidR="00D60320">
        <w:rPr>
          <w:rFonts w:ascii="Source Sans Pro" w:hAnsi="Source Sans Pro"/>
        </w:rPr>
        <w:t>8</w:t>
      </w:r>
      <w:r w:rsidR="000220FE">
        <w:rPr>
          <w:rFonts w:ascii="Source Sans Pro" w:hAnsi="Source Sans Pro"/>
        </w:rPr>
        <w:t>-1</w:t>
      </w:r>
      <w:r w:rsidR="00D60320">
        <w:rPr>
          <w:rFonts w:ascii="Source Sans Pro" w:hAnsi="Source Sans Pro"/>
        </w:rPr>
        <w:t>9</w:t>
      </w:r>
      <w:r w:rsidRPr="00CF29BB">
        <w:rPr>
          <w:rFonts w:ascii="Source Sans Pro" w:hAnsi="Source Sans Pro"/>
        </w:rPr>
        <w:t xml:space="preserve"> academic year), that student would not count as a successful transfer for </w:t>
      </w:r>
      <w:r w:rsidR="000220FE">
        <w:rPr>
          <w:rFonts w:ascii="Source Sans Pro" w:hAnsi="Source Sans Pro"/>
        </w:rPr>
        <w:t>201</w:t>
      </w:r>
      <w:r w:rsidR="00D60320">
        <w:rPr>
          <w:rFonts w:ascii="Source Sans Pro" w:hAnsi="Source Sans Pro"/>
        </w:rPr>
        <w:t>7</w:t>
      </w:r>
      <w:r w:rsidR="000220FE">
        <w:rPr>
          <w:rFonts w:ascii="Source Sans Pro" w:hAnsi="Source Sans Pro"/>
        </w:rPr>
        <w:t>-1</w:t>
      </w:r>
      <w:r w:rsidR="00D60320">
        <w:rPr>
          <w:rFonts w:ascii="Source Sans Pro" w:hAnsi="Source Sans Pro"/>
        </w:rPr>
        <w:t>8</w:t>
      </w:r>
      <w:r w:rsidRPr="00CF29BB">
        <w:rPr>
          <w:rFonts w:ascii="Source Sans Pro" w:hAnsi="Source Sans Pro"/>
        </w:rPr>
        <w:t xml:space="preserve">. However, if the student continued to be enrolled at the CSU, and did not take any additional community college classes, the student would be counted as a successful transfer the following year (in </w:t>
      </w:r>
      <w:r w:rsidR="000220FE">
        <w:rPr>
          <w:rFonts w:ascii="Source Sans Pro" w:hAnsi="Source Sans Pro"/>
        </w:rPr>
        <w:t>201</w:t>
      </w:r>
      <w:r w:rsidR="00D60320">
        <w:rPr>
          <w:rFonts w:ascii="Source Sans Pro" w:hAnsi="Source Sans Pro"/>
        </w:rPr>
        <w:t>8</w:t>
      </w:r>
      <w:r w:rsidR="000220FE">
        <w:rPr>
          <w:rFonts w:ascii="Source Sans Pro" w:hAnsi="Source Sans Pro"/>
        </w:rPr>
        <w:t>-1</w:t>
      </w:r>
      <w:r w:rsidR="00D60320">
        <w:rPr>
          <w:rFonts w:ascii="Source Sans Pro" w:hAnsi="Source Sans Pro"/>
        </w:rPr>
        <w:t>9</w:t>
      </w:r>
      <w:r w:rsidRPr="00CF29BB">
        <w:rPr>
          <w:rFonts w:ascii="Source Sans Pro" w:hAnsi="Source Sans Pro"/>
        </w:rPr>
        <w:t>). In this way</w:t>
      </w:r>
      <w:r w:rsidR="009435DD">
        <w:rPr>
          <w:rFonts w:ascii="Source Sans Pro" w:hAnsi="Source Sans Pro"/>
        </w:rPr>
        <w:t>,</w:t>
      </w:r>
      <w:r w:rsidRPr="00CF29BB">
        <w:rPr>
          <w:rFonts w:ascii="Source Sans Pro" w:hAnsi="Source Sans Pro"/>
        </w:rPr>
        <w:t xml:space="preserve"> the student taking additional courses at the community college after transfer does not eliminate the successful transfer outcome</w:t>
      </w:r>
      <w:r w:rsidR="00080A1F">
        <w:rPr>
          <w:rFonts w:ascii="Source Sans Pro" w:hAnsi="Source Sans Pro"/>
        </w:rPr>
        <w:t>,</w:t>
      </w:r>
      <w:r w:rsidRPr="00CF29BB">
        <w:rPr>
          <w:rFonts w:ascii="Source Sans Pro" w:hAnsi="Source Sans Pro"/>
        </w:rPr>
        <w:t xml:space="preserve"> it just counts that outcome in the following year. </w:t>
      </w:r>
    </w:p>
    <w:p w14:paraId="253BE562" w14:textId="77777777" w:rsidR="00ED3AD6" w:rsidRDefault="001F7C91" w:rsidP="001F7C91">
      <w:pPr>
        <w:pStyle w:val="Heading2"/>
      </w:pPr>
      <w:r w:rsidRPr="00CF29BB">
        <w:t>Does the formula count nonresident student completions</w:t>
      </w:r>
      <w:r w:rsidR="00ED3AD6">
        <w:t>?</w:t>
      </w:r>
    </w:p>
    <w:p w14:paraId="05DBA9A9" w14:textId="77777777" w:rsidR="00ED3AD6" w:rsidRPr="00ED3AD6" w:rsidRDefault="00ED3AD6" w:rsidP="00ED3AD6">
      <w:r>
        <w:rPr>
          <w:rFonts w:ascii="Source Sans Pro" w:hAnsi="Source Sans Pro"/>
        </w:rPr>
        <w:t>Outcomes for n</w:t>
      </w:r>
      <w:r w:rsidRPr="00CF29BB">
        <w:rPr>
          <w:rFonts w:ascii="Source Sans Pro" w:hAnsi="Source Sans Pro"/>
        </w:rPr>
        <w:t>onresident student</w:t>
      </w:r>
      <w:r>
        <w:rPr>
          <w:rFonts w:ascii="Source Sans Pro" w:hAnsi="Source Sans Pro"/>
        </w:rPr>
        <w:t xml:space="preserve">s </w:t>
      </w:r>
      <w:r w:rsidRPr="00CF29BB">
        <w:rPr>
          <w:rFonts w:ascii="Source Sans Pro" w:hAnsi="Source Sans Pro"/>
        </w:rPr>
        <w:t xml:space="preserve">are </w:t>
      </w:r>
      <w:r>
        <w:rPr>
          <w:rFonts w:ascii="Source Sans Pro" w:hAnsi="Source Sans Pro"/>
        </w:rPr>
        <w:t>included.</w:t>
      </w:r>
      <w:r w:rsidRPr="00CF29BB">
        <w:rPr>
          <w:rFonts w:ascii="Source Sans Pro" w:hAnsi="Source Sans Pro"/>
        </w:rPr>
        <w:t xml:space="preserve"> </w:t>
      </w:r>
    </w:p>
    <w:p w14:paraId="57086FB1" w14:textId="77777777" w:rsidR="001F7C91" w:rsidRPr="00CF29BB" w:rsidRDefault="00ED3AD6" w:rsidP="001F7C91">
      <w:pPr>
        <w:pStyle w:val="Heading2"/>
      </w:pPr>
      <w:r>
        <w:t>Does the formula count</w:t>
      </w:r>
      <w:r w:rsidR="001F7C91" w:rsidRPr="00CF29BB">
        <w:t xml:space="preserve"> students who transfer out of state? </w:t>
      </w:r>
    </w:p>
    <w:p w14:paraId="79B1B516" w14:textId="77777777" w:rsidR="00443BA0" w:rsidRPr="00CF29BB" w:rsidRDefault="003637EB" w:rsidP="00443BA0">
      <w:pPr>
        <w:rPr>
          <w:rFonts w:ascii="Source Sans Pro" w:hAnsi="Source Sans Pro"/>
        </w:rPr>
      </w:pPr>
      <w:r>
        <w:rPr>
          <w:rFonts w:ascii="Source Sans Pro" w:hAnsi="Source Sans Pro"/>
        </w:rPr>
        <w:t>Transfers to four-year universities</w:t>
      </w:r>
      <w:r w:rsidR="00443BA0" w:rsidRPr="00CF29BB">
        <w:rPr>
          <w:rFonts w:ascii="Source Sans Pro" w:hAnsi="Source Sans Pro"/>
        </w:rPr>
        <w:t xml:space="preserve"> out of state are counted if the data </w:t>
      </w:r>
      <w:r>
        <w:rPr>
          <w:rFonts w:ascii="Source Sans Pro" w:hAnsi="Source Sans Pro"/>
        </w:rPr>
        <w:t>is</w:t>
      </w:r>
      <w:r w:rsidRPr="00CF29BB">
        <w:rPr>
          <w:rFonts w:ascii="Source Sans Pro" w:hAnsi="Source Sans Pro"/>
        </w:rPr>
        <w:t xml:space="preserve"> </w:t>
      </w:r>
      <w:r w:rsidR="00443BA0" w:rsidRPr="00CF29BB">
        <w:rPr>
          <w:rFonts w:ascii="Source Sans Pro" w:hAnsi="Source Sans Pro"/>
        </w:rPr>
        <w:t xml:space="preserve">captured by the National Student Clearinghouse. </w:t>
      </w:r>
    </w:p>
    <w:p w14:paraId="317CFA64" w14:textId="77777777" w:rsidR="001F7C91" w:rsidRPr="00CF29BB" w:rsidRDefault="001F7C91" w:rsidP="001F7C91">
      <w:pPr>
        <w:pStyle w:val="Heading2"/>
      </w:pPr>
      <w:r w:rsidRPr="00CF29BB">
        <w:t>What happens if a student transfers but their data is not captured by the National Student Clearinghouse?</w:t>
      </w:r>
    </w:p>
    <w:p w14:paraId="229E894C" w14:textId="77777777" w:rsidR="00443BA0" w:rsidRPr="00CF29BB" w:rsidRDefault="00443BA0" w:rsidP="00443BA0">
      <w:pPr>
        <w:rPr>
          <w:rFonts w:ascii="Source Sans Pro" w:hAnsi="Source Sans Pro"/>
          <w:highlight w:val="yellow"/>
        </w:rPr>
      </w:pPr>
      <w:r w:rsidRPr="00CF29BB">
        <w:rPr>
          <w:rFonts w:ascii="Source Sans Pro" w:hAnsi="Source Sans Pro"/>
        </w:rPr>
        <w:t>For students whose data are not captured in the Clearinghouse records</w:t>
      </w:r>
      <w:r w:rsidR="00080A1F">
        <w:rPr>
          <w:rFonts w:ascii="Source Sans Pro" w:hAnsi="Source Sans Pro"/>
        </w:rPr>
        <w:t>,</w:t>
      </w:r>
      <w:r w:rsidRPr="00CF29BB">
        <w:rPr>
          <w:rFonts w:ascii="Source Sans Pro" w:hAnsi="Source Sans Pro"/>
        </w:rPr>
        <w:t xml:space="preserve"> they can still be counted for successful transfer if they transfer to CSU or UC.</w:t>
      </w:r>
    </w:p>
    <w:p w14:paraId="37060093" w14:textId="7CB6D5B9" w:rsidR="00443BA0" w:rsidRPr="00CF29BB" w:rsidRDefault="00443BA0" w:rsidP="000D0955">
      <w:pPr>
        <w:pStyle w:val="Heading1"/>
        <w:ind w:left="0" w:hanging="450"/>
        <w:rPr>
          <w:rFonts w:ascii="Source Sans Pro" w:hAnsi="Source Sans Pro"/>
          <w:color w:val="002F6D"/>
        </w:rPr>
      </w:pPr>
      <w:bookmarkStart w:id="49" w:name="_Toc536798197"/>
      <w:r w:rsidRPr="00CF29BB">
        <w:rPr>
          <w:rFonts w:ascii="Source Sans Pro" w:hAnsi="Source Sans Pro"/>
          <w:color w:val="002F6D"/>
        </w:rPr>
        <w:t>Student Success: Regional Living Wage</w:t>
      </w:r>
      <w:bookmarkEnd w:id="49"/>
    </w:p>
    <w:p w14:paraId="7C50EAAE" w14:textId="77777777" w:rsidR="00443BA0" w:rsidRPr="00CF29BB" w:rsidRDefault="00443BA0" w:rsidP="00443BA0">
      <w:pPr>
        <w:pStyle w:val="Heading2"/>
      </w:pPr>
      <w:r w:rsidRPr="00CF29BB">
        <w:t xml:space="preserve">How will the Chancellor's </w:t>
      </w:r>
      <w:r w:rsidR="003637EB">
        <w:t>O</w:t>
      </w:r>
      <w:r w:rsidR="003637EB" w:rsidRPr="00CF29BB">
        <w:t xml:space="preserve">ffice </w:t>
      </w:r>
      <w:r w:rsidRPr="00CF29BB">
        <w:t>determine if a student achieves a regional living wage? What is the living wage based on?</w:t>
      </w:r>
    </w:p>
    <w:p w14:paraId="474808E6" w14:textId="7201F9FB" w:rsidR="00443BA0" w:rsidRPr="00CF29BB" w:rsidRDefault="00443BA0" w:rsidP="00443BA0">
      <w:pPr>
        <w:ind w:left="432" w:firstLine="0"/>
        <w:rPr>
          <w:rFonts w:ascii="Source Sans Pro" w:hAnsi="Source Sans Pro"/>
          <w:highlight w:val="yellow"/>
        </w:rPr>
      </w:pPr>
      <w:r w:rsidRPr="00CF29BB">
        <w:rPr>
          <w:rFonts w:ascii="Source Sans Pro" w:hAnsi="Source Sans Pro"/>
        </w:rPr>
        <w:t>The regional living wage is based on the Insight Center for Community Economic Development</w:t>
      </w:r>
      <w:r w:rsidR="003C0C58">
        <w:rPr>
          <w:rFonts w:ascii="Source Sans Pro" w:hAnsi="Source Sans Pro"/>
        </w:rPr>
        <w:t>’s</w:t>
      </w:r>
      <w:r w:rsidRPr="00CF29BB">
        <w:rPr>
          <w:rFonts w:ascii="Source Sans Pro" w:hAnsi="Source Sans Pro"/>
        </w:rPr>
        <w:t xml:space="preserve"> Self-Sufficiency Tool. </w:t>
      </w:r>
      <w:r w:rsidR="000D0955" w:rsidRPr="00CF29BB">
        <w:rPr>
          <w:rFonts w:ascii="Source Sans Pro" w:hAnsi="Source Sans Pro"/>
        </w:rPr>
        <w:t>Using an example for funding for the 201</w:t>
      </w:r>
      <w:r w:rsidR="00D60320">
        <w:rPr>
          <w:rFonts w:ascii="Source Sans Pro" w:hAnsi="Source Sans Pro"/>
        </w:rPr>
        <w:t>8</w:t>
      </w:r>
      <w:r w:rsidR="000D0955" w:rsidRPr="00CF29BB">
        <w:rPr>
          <w:rFonts w:ascii="Source Sans Pro" w:hAnsi="Source Sans Pro"/>
        </w:rPr>
        <w:t>-201</w:t>
      </w:r>
      <w:r w:rsidR="00D60320">
        <w:rPr>
          <w:rFonts w:ascii="Source Sans Pro" w:hAnsi="Source Sans Pro"/>
        </w:rPr>
        <w:t>9</w:t>
      </w:r>
      <w:r w:rsidR="000D0955" w:rsidRPr="00CF29BB">
        <w:rPr>
          <w:rFonts w:ascii="Source Sans Pro" w:hAnsi="Source Sans Pro"/>
        </w:rPr>
        <w:t xml:space="preserve"> year, this measure includes all students who exited the system in the 201</w:t>
      </w:r>
      <w:r w:rsidR="00D60320">
        <w:rPr>
          <w:rFonts w:ascii="Source Sans Pro" w:hAnsi="Source Sans Pro"/>
        </w:rPr>
        <w:t>6</w:t>
      </w:r>
      <w:r w:rsidR="000D0955" w:rsidRPr="00CF29BB">
        <w:rPr>
          <w:rFonts w:ascii="Source Sans Pro" w:hAnsi="Source Sans Pro"/>
        </w:rPr>
        <w:t>-201</w:t>
      </w:r>
      <w:r w:rsidR="00D60320">
        <w:rPr>
          <w:rFonts w:ascii="Source Sans Pro" w:hAnsi="Source Sans Pro"/>
        </w:rPr>
        <w:t>7</w:t>
      </w:r>
      <w:r w:rsidR="000D0955" w:rsidRPr="00CF29BB">
        <w:rPr>
          <w:rFonts w:ascii="Source Sans Pro" w:hAnsi="Source Sans Pro"/>
        </w:rPr>
        <w:t xml:space="preserve"> academic year and did not transfer to a four-year institution </w:t>
      </w:r>
      <w:r w:rsidR="009B268B">
        <w:rPr>
          <w:rFonts w:ascii="Source Sans Pro" w:hAnsi="Source Sans Pro"/>
        </w:rPr>
        <w:t>who</w:t>
      </w:r>
      <w:r w:rsidR="000D0955" w:rsidRPr="00CF29BB">
        <w:rPr>
          <w:rFonts w:ascii="Source Sans Pro" w:hAnsi="Source Sans Pro"/>
        </w:rPr>
        <w:t xml:space="preserve"> earned a living wage in 201</w:t>
      </w:r>
      <w:r w:rsidR="00D60320">
        <w:rPr>
          <w:rFonts w:ascii="Source Sans Pro" w:hAnsi="Source Sans Pro"/>
        </w:rPr>
        <w:t>7</w:t>
      </w:r>
      <w:r w:rsidR="000D0955" w:rsidRPr="00CF29BB">
        <w:rPr>
          <w:rFonts w:ascii="Source Sans Pro" w:hAnsi="Source Sans Pro"/>
        </w:rPr>
        <w:t>-201</w:t>
      </w:r>
      <w:r w:rsidR="00D60320">
        <w:rPr>
          <w:rFonts w:ascii="Source Sans Pro" w:hAnsi="Source Sans Pro"/>
        </w:rPr>
        <w:t>8</w:t>
      </w:r>
      <w:r w:rsidR="000D0955" w:rsidRPr="00CF29BB">
        <w:rPr>
          <w:rFonts w:ascii="Source Sans Pro" w:hAnsi="Source Sans Pro"/>
        </w:rPr>
        <w:t xml:space="preserve">. </w:t>
      </w:r>
      <w:r w:rsidRPr="00CF29BB">
        <w:rPr>
          <w:rFonts w:ascii="Source Sans Pro" w:hAnsi="Source Sans Pro"/>
        </w:rPr>
        <w:t xml:space="preserve">A student's reported wage is compared to the living wage for one adult, for the district's primary county in </w:t>
      </w:r>
      <w:r w:rsidR="000220FE">
        <w:rPr>
          <w:rFonts w:ascii="Source Sans Pro" w:hAnsi="Source Sans Pro"/>
        </w:rPr>
        <w:t>201</w:t>
      </w:r>
      <w:r w:rsidR="00D60320">
        <w:rPr>
          <w:rFonts w:ascii="Source Sans Pro" w:hAnsi="Source Sans Pro"/>
        </w:rPr>
        <w:t>7</w:t>
      </w:r>
      <w:r w:rsidR="000220FE">
        <w:rPr>
          <w:rFonts w:ascii="Source Sans Pro" w:hAnsi="Source Sans Pro"/>
        </w:rPr>
        <w:t>-1</w:t>
      </w:r>
      <w:r w:rsidR="00D60320">
        <w:rPr>
          <w:rFonts w:ascii="Source Sans Pro" w:hAnsi="Source Sans Pro"/>
        </w:rPr>
        <w:t>8</w:t>
      </w:r>
      <w:r w:rsidRPr="00CF29BB">
        <w:rPr>
          <w:rFonts w:ascii="Source Sans Pro" w:hAnsi="Source Sans Pro"/>
        </w:rPr>
        <w:t xml:space="preserve"> (</w:t>
      </w:r>
      <w:r w:rsidR="00E725F0" w:rsidRPr="00E725F0">
        <w:rPr>
          <w:rFonts w:ascii="Source Sans Pro" w:hAnsi="Source Sans Pro"/>
        </w:rPr>
        <w:t>annual student earnings are calculated based on annualized earnings from October 1 through December 31)</w:t>
      </w:r>
      <w:r w:rsidRPr="00E725F0">
        <w:rPr>
          <w:rFonts w:ascii="Source Sans Pro" w:hAnsi="Source Sans Pro"/>
        </w:rPr>
        <w:t>.</w:t>
      </w:r>
      <w:r w:rsidRPr="00CF29BB">
        <w:rPr>
          <w:rFonts w:ascii="Source Sans Pro" w:hAnsi="Source Sans Pro"/>
        </w:rPr>
        <w:t xml:space="preserve"> </w:t>
      </w:r>
    </w:p>
    <w:p w14:paraId="318A4AC7" w14:textId="77777777" w:rsidR="00443BA0" w:rsidRPr="00CF29BB" w:rsidRDefault="00443BA0" w:rsidP="00443BA0">
      <w:pPr>
        <w:pStyle w:val="Heading2"/>
      </w:pPr>
      <w:bookmarkStart w:id="50" w:name="_Hlk534705542"/>
      <w:r w:rsidRPr="00CF29BB">
        <w:t>How can a district find out the “primary county” for determin</w:t>
      </w:r>
      <w:r w:rsidR="003C0C58">
        <w:t>ing</w:t>
      </w:r>
      <w:r w:rsidRPr="00CF29BB">
        <w:t xml:space="preserve"> the living wage calculation and how is the primary county determined?</w:t>
      </w:r>
    </w:p>
    <w:p w14:paraId="21638B5D" w14:textId="77777777" w:rsidR="00443BA0" w:rsidRPr="00CF29BB" w:rsidRDefault="00443BA0" w:rsidP="00443BA0">
      <w:pPr>
        <w:rPr>
          <w:rFonts w:ascii="Source Sans Pro" w:hAnsi="Source Sans Pro"/>
        </w:rPr>
      </w:pPr>
      <w:bookmarkStart w:id="51" w:name="_Hlk534705562"/>
      <w:bookmarkEnd w:id="50"/>
      <w:r w:rsidRPr="00CF29BB">
        <w:rPr>
          <w:rFonts w:ascii="Source Sans Pro" w:hAnsi="Source Sans Pro"/>
        </w:rPr>
        <w:t>The primary county is determined through an examination of county to district overlap. In districts with colleges across multiple counties</w:t>
      </w:r>
      <w:r w:rsidR="003C0C58">
        <w:rPr>
          <w:rFonts w:ascii="Source Sans Pro" w:hAnsi="Source Sans Pro"/>
        </w:rPr>
        <w:t>,</w:t>
      </w:r>
      <w:r w:rsidRPr="00CF29BB">
        <w:rPr>
          <w:rFonts w:ascii="Source Sans Pro" w:hAnsi="Source Sans Pro"/>
        </w:rPr>
        <w:t xml:space="preserve"> the district office location informs the choice of the primary county. </w:t>
      </w:r>
    </w:p>
    <w:bookmarkEnd w:id="51"/>
    <w:p w14:paraId="02E624D0" w14:textId="77777777" w:rsidR="00443BA0" w:rsidRPr="00CF29BB" w:rsidRDefault="00443BA0" w:rsidP="00443BA0">
      <w:pPr>
        <w:pStyle w:val="Heading2"/>
      </w:pPr>
      <w:r w:rsidRPr="00CF29BB">
        <w:t xml:space="preserve">Is the living wage for a single person or a person with children? </w:t>
      </w:r>
    </w:p>
    <w:p w14:paraId="521EF19D" w14:textId="77777777" w:rsidR="00443BA0" w:rsidRPr="00CF29BB" w:rsidRDefault="00443BA0" w:rsidP="00443BA0">
      <w:pPr>
        <w:rPr>
          <w:rFonts w:ascii="Source Sans Pro" w:hAnsi="Source Sans Pro"/>
        </w:rPr>
      </w:pPr>
      <w:r w:rsidRPr="00CF29BB">
        <w:rPr>
          <w:rFonts w:ascii="Source Sans Pro" w:hAnsi="Source Sans Pro"/>
        </w:rPr>
        <w:t>The living wage is calculated for one adult.</w:t>
      </w:r>
    </w:p>
    <w:p w14:paraId="0827FAC5" w14:textId="77777777" w:rsidR="00443BA0" w:rsidRPr="00CF29BB" w:rsidRDefault="00443BA0" w:rsidP="00443BA0">
      <w:pPr>
        <w:pStyle w:val="Heading2"/>
      </w:pPr>
      <w:r w:rsidRPr="00CF29BB">
        <w:t>What happens if a student attends college in one district and resides, or moves, to another area of the state</w:t>
      </w:r>
      <w:r w:rsidR="00327D63" w:rsidRPr="00CF29BB">
        <w:t>? W</w:t>
      </w:r>
      <w:r w:rsidRPr="00CF29BB">
        <w:t>hich region is used to determine the regional living wage?</w:t>
      </w:r>
    </w:p>
    <w:p w14:paraId="00CBFCCF" w14:textId="77777777" w:rsidR="00443BA0" w:rsidRPr="00CF29BB" w:rsidRDefault="003637EB" w:rsidP="00443BA0">
      <w:pPr>
        <w:rPr>
          <w:rFonts w:ascii="Source Sans Pro" w:hAnsi="Source Sans Pro"/>
        </w:rPr>
      </w:pPr>
      <w:r>
        <w:rPr>
          <w:rFonts w:ascii="Source Sans Pro" w:hAnsi="Source Sans Pro"/>
        </w:rPr>
        <w:t>The student’s wage is compared to the living wage for the district in which the student enrolled.</w:t>
      </w:r>
    </w:p>
    <w:p w14:paraId="2CAE4F3E" w14:textId="77777777" w:rsidR="00443BA0" w:rsidRPr="00CF29BB" w:rsidRDefault="00443BA0" w:rsidP="00327D63">
      <w:pPr>
        <w:pStyle w:val="Heading1"/>
        <w:ind w:left="0" w:hanging="450"/>
        <w:rPr>
          <w:rFonts w:ascii="Source Sans Pro" w:hAnsi="Source Sans Pro"/>
          <w:color w:val="002F6D"/>
        </w:rPr>
      </w:pPr>
      <w:bookmarkStart w:id="52" w:name="_Toc536798198"/>
      <w:r w:rsidRPr="00CF29BB">
        <w:rPr>
          <w:rFonts w:ascii="Source Sans Pro" w:hAnsi="Source Sans Pro"/>
          <w:color w:val="002F6D"/>
        </w:rPr>
        <w:lastRenderedPageBreak/>
        <w:t>Student Success: Students with Multiple Success Outcomes</w:t>
      </w:r>
      <w:bookmarkEnd w:id="52"/>
    </w:p>
    <w:p w14:paraId="3622C049" w14:textId="77777777" w:rsidR="00443BA0" w:rsidRPr="00CF29BB" w:rsidRDefault="00443BA0" w:rsidP="00443BA0">
      <w:pPr>
        <w:pStyle w:val="Heading2"/>
      </w:pPr>
      <w:r w:rsidRPr="00CF29BB">
        <w:t xml:space="preserve">If a student obtains both a transfer degree and a CTE certificate, do the districts get credit for both the </w:t>
      </w:r>
      <w:r w:rsidR="009435DD">
        <w:t>transfer degree</w:t>
      </w:r>
      <w:r w:rsidRPr="00CF29BB">
        <w:t xml:space="preserve"> and the CTE certificate? What steps are being taken to keep colleges from creating multiple overlapping degrees and certificates in which students can earn several awards for the completion of the same collection of classes?  </w:t>
      </w:r>
    </w:p>
    <w:p w14:paraId="6E378FCA" w14:textId="77777777" w:rsidR="00C04C78" w:rsidRPr="00CF29BB" w:rsidRDefault="00EF16DD" w:rsidP="00443BA0">
      <w:pPr>
        <w:rPr>
          <w:rFonts w:ascii="Source Sans Pro" w:hAnsi="Source Sans Pro"/>
          <w:i/>
        </w:rPr>
      </w:pPr>
      <w:r>
        <w:rPr>
          <w:rFonts w:ascii="Source Sans Pro" w:hAnsi="Source Sans Pro"/>
        </w:rPr>
        <w:t xml:space="preserve">Yes. </w:t>
      </w:r>
      <w:r w:rsidR="00C04C78" w:rsidRPr="00CF29BB">
        <w:rPr>
          <w:rFonts w:ascii="Source Sans Pro" w:hAnsi="Source Sans Pro"/>
        </w:rPr>
        <w:t>The award metrics are duplicated counts of all Chancellor’s Office approved awards</w:t>
      </w:r>
      <w:r>
        <w:rPr>
          <w:rFonts w:ascii="Source Sans Pro" w:hAnsi="Source Sans Pro"/>
        </w:rPr>
        <w:t>. In this case,</w:t>
      </w:r>
      <w:r w:rsidR="00C04C78" w:rsidRPr="00CF29BB">
        <w:rPr>
          <w:rFonts w:ascii="Source Sans Pro" w:hAnsi="Source Sans Pro"/>
        </w:rPr>
        <w:t xml:space="preserve"> </w:t>
      </w:r>
      <w:r w:rsidR="00443BA0" w:rsidRPr="00CF29BB">
        <w:rPr>
          <w:rFonts w:ascii="Source Sans Pro" w:hAnsi="Source Sans Pro"/>
        </w:rPr>
        <w:t xml:space="preserve">if a student completes a certificate and </w:t>
      </w:r>
      <w:r w:rsidR="00C04C78" w:rsidRPr="00CF29BB">
        <w:rPr>
          <w:rFonts w:ascii="Source Sans Pro" w:hAnsi="Source Sans Pro"/>
        </w:rPr>
        <w:t>an ADT in the same district</w:t>
      </w:r>
      <w:r w:rsidR="00F26BA4" w:rsidRPr="00CF29BB">
        <w:rPr>
          <w:rFonts w:ascii="Source Sans Pro" w:hAnsi="Source Sans Pro"/>
        </w:rPr>
        <w:t xml:space="preserve"> in the same year</w:t>
      </w:r>
      <w:r w:rsidR="00C04C78" w:rsidRPr="00CF29BB">
        <w:rPr>
          <w:rFonts w:ascii="Source Sans Pro" w:hAnsi="Source Sans Pro"/>
        </w:rPr>
        <w:t>,</w:t>
      </w:r>
      <w:r w:rsidR="00443BA0" w:rsidRPr="00CF29BB">
        <w:rPr>
          <w:rFonts w:ascii="Source Sans Pro" w:hAnsi="Source Sans Pro"/>
        </w:rPr>
        <w:t xml:space="preserve"> the district receives points for both outcomes</w:t>
      </w:r>
      <w:r w:rsidR="00C04C78" w:rsidRPr="00CF29BB">
        <w:rPr>
          <w:rFonts w:ascii="Source Sans Pro" w:hAnsi="Source Sans Pro"/>
        </w:rPr>
        <w:t xml:space="preserve">. </w:t>
      </w:r>
    </w:p>
    <w:p w14:paraId="649423AE" w14:textId="77777777" w:rsidR="00443BA0" w:rsidRPr="00CF29BB" w:rsidRDefault="00443BA0" w:rsidP="00443BA0">
      <w:pPr>
        <w:rPr>
          <w:rFonts w:ascii="Source Sans Pro" w:hAnsi="Source Sans Pro"/>
          <w:b/>
        </w:rPr>
      </w:pPr>
      <w:r w:rsidRPr="00CF29BB">
        <w:rPr>
          <w:rFonts w:ascii="Source Sans Pro" w:hAnsi="Source Sans Pro"/>
        </w:rPr>
        <w:t xml:space="preserve">All degrees and certificates must be approved by the Chancellor’s </w:t>
      </w:r>
      <w:r w:rsidR="00EF16DD">
        <w:rPr>
          <w:rFonts w:ascii="Source Sans Pro" w:hAnsi="Source Sans Pro"/>
        </w:rPr>
        <w:t>O</w:t>
      </w:r>
      <w:r w:rsidR="00EF16DD" w:rsidRPr="00CF29BB">
        <w:rPr>
          <w:rFonts w:ascii="Source Sans Pro" w:hAnsi="Source Sans Pro"/>
        </w:rPr>
        <w:t>ffice</w:t>
      </w:r>
      <w:r w:rsidRPr="00CF29BB">
        <w:rPr>
          <w:rFonts w:ascii="Source Sans Pro" w:hAnsi="Source Sans Pro"/>
        </w:rPr>
        <w:t xml:space="preserve">. The statute </w:t>
      </w:r>
      <w:r w:rsidR="00EF16DD">
        <w:rPr>
          <w:rFonts w:ascii="Source Sans Pro" w:hAnsi="Source Sans Pro"/>
        </w:rPr>
        <w:t>requires</w:t>
      </w:r>
      <w:r w:rsidR="009A0B1F" w:rsidRPr="00CF29BB">
        <w:rPr>
          <w:rFonts w:ascii="Source Sans Pro" w:hAnsi="Source Sans Pro"/>
        </w:rPr>
        <w:t xml:space="preserve"> the Chancellor’s </w:t>
      </w:r>
      <w:r w:rsidR="00EF16DD">
        <w:rPr>
          <w:rFonts w:ascii="Source Sans Pro" w:hAnsi="Source Sans Pro"/>
        </w:rPr>
        <w:t>O</w:t>
      </w:r>
      <w:r w:rsidR="00EF16DD" w:rsidRPr="00CF29BB">
        <w:rPr>
          <w:rFonts w:ascii="Source Sans Pro" w:hAnsi="Source Sans Pro"/>
        </w:rPr>
        <w:t xml:space="preserve">ffice </w:t>
      </w:r>
      <w:r w:rsidR="00EF16DD">
        <w:rPr>
          <w:rFonts w:ascii="Source Sans Pro" w:hAnsi="Source Sans Pro"/>
        </w:rPr>
        <w:t>to</w:t>
      </w:r>
      <w:r w:rsidR="00EF16DD" w:rsidRPr="00CF29BB">
        <w:rPr>
          <w:rFonts w:ascii="Source Sans Pro" w:hAnsi="Source Sans Pro"/>
        </w:rPr>
        <w:t xml:space="preserve"> </w:t>
      </w:r>
      <w:r w:rsidR="009A0B1F" w:rsidRPr="00CF29BB">
        <w:rPr>
          <w:rFonts w:ascii="Source Sans Pro" w:hAnsi="Source Sans Pro"/>
        </w:rPr>
        <w:t xml:space="preserve">develop a process to monitor the approval of new awards, certificates and degree </w:t>
      </w:r>
      <w:r w:rsidR="009A0B1F" w:rsidRPr="0065705E">
        <w:rPr>
          <w:rFonts w:ascii="Source Sans Pro" w:hAnsi="Source Sans Pro"/>
        </w:rPr>
        <w:t xml:space="preserve">programs. Furthermore, the Chancellor’s </w:t>
      </w:r>
      <w:r w:rsidR="00EF16DD" w:rsidRPr="0065705E">
        <w:rPr>
          <w:rFonts w:ascii="Source Sans Pro" w:hAnsi="Source Sans Pro"/>
        </w:rPr>
        <w:t>Office</w:t>
      </w:r>
      <w:r w:rsidR="009A0B1F" w:rsidRPr="0065705E">
        <w:rPr>
          <w:rFonts w:ascii="Source Sans Pro" w:hAnsi="Source Sans Pro"/>
        </w:rPr>
        <w:t xml:space="preserve">, with consultation from the SCFF </w:t>
      </w:r>
      <w:r w:rsidR="00EF16DD" w:rsidRPr="0065705E">
        <w:rPr>
          <w:rFonts w:ascii="Source Sans Pro" w:hAnsi="Source Sans Pro"/>
        </w:rPr>
        <w:t>Oversight Committee</w:t>
      </w:r>
      <w:r w:rsidR="009A0B1F" w:rsidRPr="0065705E">
        <w:rPr>
          <w:rFonts w:ascii="Source Sans Pro" w:hAnsi="Source Sans Pro"/>
        </w:rPr>
        <w:t>, will establish minimum standards for the approval of these certificates and awards.</w:t>
      </w:r>
    </w:p>
    <w:p w14:paraId="2229A840" w14:textId="77777777" w:rsidR="00443BA0" w:rsidRPr="00CF29BB" w:rsidRDefault="005B5C40" w:rsidP="00443BA0">
      <w:pPr>
        <w:pStyle w:val="Heading2"/>
      </w:pPr>
      <w:bookmarkStart w:id="53" w:name="_Hlk534705923"/>
      <w:r w:rsidRPr="00CF29BB">
        <w:t>I</w:t>
      </w:r>
      <w:r w:rsidR="00443BA0" w:rsidRPr="00CF29BB">
        <w:t>f a student attends and completes units in multiple districts</w:t>
      </w:r>
      <w:r w:rsidR="00EF16DD">
        <w:t>,</w:t>
      </w:r>
      <w:r w:rsidR="00443BA0" w:rsidRPr="00CF29BB">
        <w:t xml:space="preserve"> do all districts get to count that degree or certificate under the </w:t>
      </w:r>
      <w:r w:rsidR="00EF16DD">
        <w:t>S</w:t>
      </w:r>
      <w:r w:rsidR="00EF16DD" w:rsidRPr="00CF29BB">
        <w:t xml:space="preserve">tudent </w:t>
      </w:r>
      <w:r w:rsidR="00B53386" w:rsidRPr="00CF29BB">
        <w:t>Success Allocation</w:t>
      </w:r>
      <w:r w:rsidR="00443BA0" w:rsidRPr="00CF29BB">
        <w:t>? If multiple districts cannot count that outcome could the points for the outco</w:t>
      </w:r>
      <w:r w:rsidRPr="00CF29BB">
        <w:t>m</w:t>
      </w:r>
      <w:r w:rsidR="00443BA0" w:rsidRPr="00CF29BB">
        <w:t xml:space="preserve">e be split between the districts? If this is not the case, is the Chancellor’s office concerned that the inability to share outcome points will result in </w:t>
      </w:r>
      <w:r w:rsidR="009435DD">
        <w:t>districts</w:t>
      </w:r>
      <w:r w:rsidR="00443BA0" w:rsidRPr="00CF29BB">
        <w:t xml:space="preserve"> competing for students and will disincentivize districts from cooperating with each other? </w:t>
      </w:r>
    </w:p>
    <w:p w14:paraId="33285127" w14:textId="77777777" w:rsidR="005B5C40" w:rsidRPr="00CF29BB" w:rsidRDefault="00EF16DD" w:rsidP="005B5C40">
      <w:pPr>
        <w:rPr>
          <w:rFonts w:ascii="Source Sans Pro" w:hAnsi="Source Sans Pro"/>
        </w:rPr>
      </w:pPr>
      <w:r>
        <w:rPr>
          <w:rFonts w:ascii="Source Sans Pro" w:hAnsi="Source Sans Pro"/>
        </w:rPr>
        <w:t>In the Student Success Allocation, the SCFF provides points (and therefore funds) to the</w:t>
      </w:r>
      <w:r w:rsidR="005B5C40" w:rsidRPr="00CF29BB">
        <w:rPr>
          <w:rFonts w:ascii="Source Sans Pro" w:hAnsi="Source Sans Pro"/>
        </w:rPr>
        <w:t xml:space="preserve"> district </w:t>
      </w:r>
      <w:r>
        <w:rPr>
          <w:rFonts w:ascii="Source Sans Pro" w:hAnsi="Source Sans Pro"/>
        </w:rPr>
        <w:t>that awards the degree or certificate</w:t>
      </w:r>
      <w:r w:rsidR="00DD5A82" w:rsidRPr="00CF29BB">
        <w:rPr>
          <w:rFonts w:ascii="Source Sans Pro" w:hAnsi="Source Sans Pro"/>
        </w:rPr>
        <w:t>.</w:t>
      </w:r>
      <w:r w:rsidR="005B5C40" w:rsidRPr="00CF29BB">
        <w:rPr>
          <w:rFonts w:ascii="Source Sans Pro" w:hAnsi="Source Sans Pro"/>
        </w:rPr>
        <w:t xml:space="preserve"> The Chancellor’s </w:t>
      </w:r>
      <w:r>
        <w:rPr>
          <w:rFonts w:ascii="Source Sans Pro" w:hAnsi="Source Sans Pro"/>
        </w:rPr>
        <w:t>O</w:t>
      </w:r>
      <w:r w:rsidRPr="00CF29BB">
        <w:rPr>
          <w:rFonts w:ascii="Source Sans Pro" w:hAnsi="Source Sans Pro"/>
        </w:rPr>
        <w:t xml:space="preserve">ffice </w:t>
      </w:r>
      <w:r>
        <w:rPr>
          <w:rFonts w:ascii="Source Sans Pro" w:hAnsi="Source Sans Pro"/>
        </w:rPr>
        <w:t>provide</w:t>
      </w:r>
      <w:r w:rsidR="005F44F8">
        <w:rPr>
          <w:rFonts w:ascii="Source Sans Pro" w:hAnsi="Source Sans Pro"/>
        </w:rPr>
        <w:t>s</w:t>
      </w:r>
      <w:r>
        <w:rPr>
          <w:rFonts w:ascii="Source Sans Pro" w:hAnsi="Source Sans Pro"/>
        </w:rPr>
        <w:t xml:space="preserve"> instruction and services in the ways that meet the needs of students.</w:t>
      </w:r>
    </w:p>
    <w:bookmarkEnd w:id="53"/>
    <w:p w14:paraId="2CBE1DF6" w14:textId="77777777" w:rsidR="00443BA0" w:rsidRPr="00CF29BB" w:rsidRDefault="00443BA0" w:rsidP="00443BA0">
      <w:pPr>
        <w:pStyle w:val="Heading2"/>
      </w:pPr>
      <w:r w:rsidRPr="00CF29BB">
        <w:t xml:space="preserve">Do districts get points for completions of </w:t>
      </w:r>
      <w:r w:rsidR="009435DD">
        <w:t>S</w:t>
      </w:r>
      <w:r w:rsidRPr="00CF29BB">
        <w:t xml:space="preserve">pecial </w:t>
      </w:r>
      <w:r w:rsidR="009435DD">
        <w:t>A</w:t>
      </w:r>
      <w:r w:rsidRPr="00CF29BB">
        <w:t xml:space="preserve">dmit students? </w:t>
      </w:r>
    </w:p>
    <w:p w14:paraId="14902336" w14:textId="77777777" w:rsidR="00EF16DD" w:rsidRPr="00CF29BB" w:rsidRDefault="00EF16DD" w:rsidP="00EF16DD">
      <w:pPr>
        <w:ind w:left="499" w:right="0"/>
        <w:rPr>
          <w:rFonts w:ascii="Source Sans Pro" w:hAnsi="Source Sans Pro"/>
        </w:rPr>
      </w:pPr>
      <w:r>
        <w:rPr>
          <w:rFonts w:ascii="Source Sans Pro" w:hAnsi="Source Sans Pro"/>
        </w:rPr>
        <w:t>The statute does not exclude i</w:t>
      </w:r>
      <w:r w:rsidRPr="00E772FA">
        <w:rPr>
          <w:rFonts w:ascii="Source Sans Pro" w:hAnsi="Source Sans Pro"/>
        </w:rPr>
        <w:t>n</w:t>
      </w:r>
      <w:r>
        <w:rPr>
          <w:rFonts w:ascii="Source Sans Pro" w:hAnsi="Source Sans Pro"/>
        </w:rPr>
        <w:t>mates in correctional facilities</w:t>
      </w:r>
      <w:r w:rsidRPr="00CF29BB">
        <w:rPr>
          <w:rFonts w:ascii="Source Sans Pro" w:hAnsi="Source Sans Pro"/>
        </w:rPr>
        <w:t xml:space="preserve"> and </w:t>
      </w:r>
      <w:r>
        <w:rPr>
          <w:rFonts w:ascii="Source Sans Pro" w:hAnsi="Source Sans Pro"/>
        </w:rPr>
        <w:t>special admit</w:t>
      </w:r>
      <w:r w:rsidRPr="00CF29BB">
        <w:rPr>
          <w:rFonts w:ascii="Source Sans Pro" w:hAnsi="Source Sans Pro"/>
        </w:rPr>
        <w:t xml:space="preserve"> students </w:t>
      </w:r>
      <w:r>
        <w:rPr>
          <w:rFonts w:ascii="Source Sans Pro" w:hAnsi="Source Sans Pro"/>
        </w:rPr>
        <w:t>from being</w:t>
      </w:r>
      <w:r w:rsidR="00BF37DF">
        <w:rPr>
          <w:rFonts w:ascii="Source Sans Pro" w:hAnsi="Source Sans Pro"/>
        </w:rPr>
        <w:t xml:space="preserve"> counted for most of the outcomes included in the </w:t>
      </w:r>
      <w:r w:rsidRPr="00CF29BB">
        <w:rPr>
          <w:rFonts w:ascii="Source Sans Pro" w:hAnsi="Source Sans Pro"/>
        </w:rPr>
        <w:t>S</w:t>
      </w:r>
      <w:r>
        <w:rPr>
          <w:rFonts w:ascii="Source Sans Pro" w:hAnsi="Source Sans Pro"/>
        </w:rPr>
        <w:t>tudent S</w:t>
      </w:r>
      <w:r w:rsidRPr="00CF29BB">
        <w:rPr>
          <w:rFonts w:ascii="Source Sans Pro" w:hAnsi="Source Sans Pro"/>
        </w:rPr>
        <w:t xml:space="preserve">uccess </w:t>
      </w:r>
      <w:r w:rsidR="00BF37DF">
        <w:rPr>
          <w:rFonts w:ascii="Source Sans Pro" w:hAnsi="Source Sans Pro"/>
        </w:rPr>
        <w:t>Allocation</w:t>
      </w:r>
      <w:r w:rsidRPr="00CF29BB">
        <w:rPr>
          <w:rFonts w:ascii="Source Sans Pro" w:hAnsi="Source Sans Pro"/>
        </w:rPr>
        <w:t xml:space="preserve">. </w:t>
      </w:r>
      <w:r>
        <w:rPr>
          <w:rFonts w:ascii="Source Sans Pro" w:hAnsi="Source Sans Pro"/>
        </w:rPr>
        <w:t>Therefore, if applicable, a district w</w:t>
      </w:r>
      <w:r w:rsidR="00041E6A">
        <w:rPr>
          <w:rFonts w:ascii="Source Sans Pro" w:hAnsi="Source Sans Pro"/>
        </w:rPr>
        <w:t>ill</w:t>
      </w:r>
      <w:r>
        <w:rPr>
          <w:rFonts w:ascii="Source Sans Pro" w:hAnsi="Source Sans Pro"/>
        </w:rPr>
        <w:t xml:space="preserve"> receive funding for their counts. For the count of the number of students who complete</w:t>
      </w:r>
      <w:r w:rsidRPr="00CF29BB">
        <w:rPr>
          <w:rFonts w:ascii="Source Sans Pro" w:hAnsi="Source Sans Pro"/>
        </w:rPr>
        <w:t xml:space="preserve"> </w:t>
      </w:r>
      <w:r w:rsidR="009435DD">
        <w:rPr>
          <w:rFonts w:ascii="Source Sans Pro" w:hAnsi="Source Sans Pro"/>
        </w:rPr>
        <w:t>Tr</w:t>
      </w:r>
      <w:r w:rsidRPr="00CF29BB">
        <w:rPr>
          <w:rFonts w:ascii="Source Sans Pro" w:hAnsi="Source Sans Pro"/>
        </w:rPr>
        <w:t>ansfer</w:t>
      </w:r>
      <w:r>
        <w:rPr>
          <w:rFonts w:ascii="Source Sans Pro" w:hAnsi="Source Sans Pro"/>
        </w:rPr>
        <w:t>-</w:t>
      </w:r>
      <w:r w:rsidR="009435DD">
        <w:rPr>
          <w:rFonts w:ascii="Source Sans Pro" w:hAnsi="Source Sans Pro"/>
        </w:rPr>
        <w:t>L</w:t>
      </w:r>
      <w:r w:rsidRPr="00CF29BB">
        <w:rPr>
          <w:rFonts w:ascii="Source Sans Pro" w:hAnsi="Source Sans Pro"/>
        </w:rPr>
        <w:t xml:space="preserve">evel English and </w:t>
      </w:r>
      <w:r w:rsidR="00E432A2">
        <w:rPr>
          <w:rFonts w:ascii="Source Sans Pro" w:hAnsi="Source Sans Pro"/>
        </w:rPr>
        <w:t>m</w:t>
      </w:r>
      <w:r w:rsidRPr="00CF29BB">
        <w:rPr>
          <w:rFonts w:ascii="Source Sans Pro" w:hAnsi="Source Sans Pro"/>
        </w:rPr>
        <w:t xml:space="preserve">ath in the first </w:t>
      </w:r>
      <w:r w:rsidR="004C6503">
        <w:rPr>
          <w:rFonts w:ascii="Source Sans Pro" w:hAnsi="Source Sans Pro"/>
        </w:rPr>
        <w:t xml:space="preserve">academic </w:t>
      </w:r>
      <w:r w:rsidRPr="00CF29BB">
        <w:rPr>
          <w:rFonts w:ascii="Source Sans Pro" w:hAnsi="Source Sans Pro"/>
        </w:rPr>
        <w:t>year</w:t>
      </w:r>
      <w:r w:rsidR="004C6503">
        <w:rPr>
          <w:rFonts w:ascii="Source Sans Pro" w:hAnsi="Source Sans Pro"/>
        </w:rPr>
        <w:t xml:space="preserve"> of enrollment</w:t>
      </w:r>
      <w:r>
        <w:rPr>
          <w:rFonts w:ascii="Source Sans Pro" w:hAnsi="Source Sans Pro"/>
        </w:rPr>
        <w:t>, special admit students would not be counted</w:t>
      </w:r>
      <w:r w:rsidR="003C0C58" w:rsidRPr="003C0C58">
        <w:rPr>
          <w:rFonts w:ascii="Source Sans Pro" w:hAnsi="Source Sans Pro"/>
        </w:rPr>
        <w:t xml:space="preserve"> </w:t>
      </w:r>
      <w:r w:rsidR="003C0C58">
        <w:rPr>
          <w:rFonts w:ascii="Source Sans Pro" w:hAnsi="Source Sans Pro"/>
        </w:rPr>
        <w:t>because</w:t>
      </w:r>
      <w:r w:rsidR="003C0C58" w:rsidRPr="00CF29BB">
        <w:rPr>
          <w:rFonts w:ascii="Source Sans Pro" w:hAnsi="Source Sans Pro"/>
        </w:rPr>
        <w:t xml:space="preserve"> </w:t>
      </w:r>
      <w:r w:rsidR="003C0C58">
        <w:rPr>
          <w:rFonts w:ascii="Source Sans Pro" w:hAnsi="Source Sans Pro"/>
        </w:rPr>
        <w:t>the statute specifies that a district is funded based on counts of students who complete within the first year of enrollment</w:t>
      </w:r>
      <w:r w:rsidRPr="00CF29BB">
        <w:rPr>
          <w:rFonts w:ascii="Source Sans Pro" w:hAnsi="Source Sans Pro"/>
        </w:rPr>
        <w:t>.</w:t>
      </w:r>
      <w:r w:rsidRPr="00CF29BB">
        <w:rPr>
          <w:rFonts w:ascii="Source Sans Pro" w:hAnsi="Source Sans Pro"/>
          <w:b/>
        </w:rPr>
        <w:t xml:space="preserve"> </w:t>
      </w:r>
    </w:p>
    <w:p w14:paraId="78A394F9" w14:textId="77777777" w:rsidR="005B5C40" w:rsidRPr="00CF29BB" w:rsidRDefault="00443BA0" w:rsidP="00443BA0">
      <w:pPr>
        <w:pStyle w:val="Heading2"/>
      </w:pPr>
      <w:r w:rsidRPr="00CF29BB">
        <w:t xml:space="preserve">What is the rationale for weighting the ADT higher than </w:t>
      </w:r>
      <w:r w:rsidR="00793F62">
        <w:t xml:space="preserve">an </w:t>
      </w:r>
      <w:r w:rsidR="003C0C58">
        <w:t>A</w:t>
      </w:r>
      <w:r w:rsidR="00793F62">
        <w:t>ssociate</w:t>
      </w:r>
      <w:r w:rsidRPr="00CF29BB">
        <w:t xml:space="preserve"> or </w:t>
      </w:r>
      <w:r w:rsidR="003C0C58">
        <w:t>T</w:t>
      </w:r>
      <w:r w:rsidRPr="00CF29BB">
        <w:t xml:space="preserve">ransfer completions? </w:t>
      </w:r>
    </w:p>
    <w:p w14:paraId="369703CD" w14:textId="77777777" w:rsidR="005B5C40" w:rsidRPr="00CF29BB" w:rsidRDefault="00BF37DF" w:rsidP="005B5C40">
      <w:pPr>
        <w:rPr>
          <w:rFonts w:ascii="Source Sans Pro" w:hAnsi="Source Sans Pro"/>
        </w:rPr>
      </w:pPr>
      <w:r>
        <w:rPr>
          <w:rFonts w:ascii="Source Sans Pro" w:hAnsi="Source Sans Pro"/>
        </w:rPr>
        <w:t xml:space="preserve">The state is intending to make the </w:t>
      </w:r>
      <w:r w:rsidR="009435DD">
        <w:rPr>
          <w:rFonts w:ascii="Source Sans Pro" w:hAnsi="Source Sans Pro"/>
        </w:rPr>
        <w:t>A</w:t>
      </w:r>
      <w:r w:rsidR="004C6503">
        <w:rPr>
          <w:rFonts w:ascii="Source Sans Pro" w:hAnsi="Source Sans Pro"/>
        </w:rPr>
        <w:t>DT</w:t>
      </w:r>
      <w:r>
        <w:rPr>
          <w:rFonts w:ascii="Source Sans Pro" w:hAnsi="Source Sans Pro"/>
        </w:rPr>
        <w:t xml:space="preserve"> the preferred pathway for students seeking to transfer to a four-year university. By</w:t>
      </w:r>
      <w:r w:rsidR="005B5C40" w:rsidRPr="00CF29BB">
        <w:rPr>
          <w:rFonts w:ascii="Source Sans Pro" w:hAnsi="Source Sans Pro"/>
        </w:rPr>
        <w:t xml:space="preserve"> successfully obtaining an ADT</w:t>
      </w:r>
      <w:r>
        <w:rPr>
          <w:rFonts w:ascii="Source Sans Pro" w:hAnsi="Source Sans Pro"/>
        </w:rPr>
        <w:t xml:space="preserve">, </w:t>
      </w:r>
      <w:r w:rsidR="005B5C40" w:rsidRPr="00CF29BB">
        <w:rPr>
          <w:rFonts w:ascii="Source Sans Pro" w:hAnsi="Source Sans Pro"/>
        </w:rPr>
        <w:t xml:space="preserve">the student </w:t>
      </w:r>
      <w:r>
        <w:rPr>
          <w:rFonts w:ascii="Source Sans Pro" w:hAnsi="Source Sans Pro"/>
        </w:rPr>
        <w:t xml:space="preserve">leaves the </w:t>
      </w:r>
      <w:r w:rsidR="004C6503">
        <w:rPr>
          <w:rFonts w:ascii="Source Sans Pro" w:hAnsi="Source Sans Pro"/>
        </w:rPr>
        <w:t>c</w:t>
      </w:r>
      <w:r>
        <w:rPr>
          <w:rFonts w:ascii="Source Sans Pro" w:hAnsi="Source Sans Pro"/>
        </w:rPr>
        <w:t xml:space="preserve">ommunity </w:t>
      </w:r>
      <w:r w:rsidR="004C6503">
        <w:rPr>
          <w:rFonts w:ascii="Source Sans Pro" w:hAnsi="Source Sans Pro"/>
        </w:rPr>
        <w:t>college</w:t>
      </w:r>
      <w:r>
        <w:rPr>
          <w:rFonts w:ascii="Source Sans Pro" w:hAnsi="Source Sans Pro"/>
        </w:rPr>
        <w:t xml:space="preserve"> with</w:t>
      </w:r>
      <w:r w:rsidR="005B5C40" w:rsidRPr="00CF29BB">
        <w:rPr>
          <w:rFonts w:ascii="Source Sans Pro" w:hAnsi="Source Sans Pro"/>
        </w:rPr>
        <w:t xml:space="preserve"> a</w:t>
      </w:r>
      <w:r>
        <w:rPr>
          <w:rFonts w:ascii="Source Sans Pro" w:hAnsi="Source Sans Pro"/>
        </w:rPr>
        <w:t xml:space="preserve"> meaningful</w:t>
      </w:r>
      <w:r w:rsidR="005B5C40" w:rsidRPr="00CF29BB">
        <w:rPr>
          <w:rFonts w:ascii="Source Sans Pro" w:hAnsi="Source Sans Pro"/>
        </w:rPr>
        <w:t xml:space="preserve"> degree</w:t>
      </w:r>
      <w:r>
        <w:rPr>
          <w:rFonts w:ascii="Source Sans Pro" w:hAnsi="Source Sans Pro"/>
        </w:rPr>
        <w:t>, is guaranteed admission to the CSU with junior standing, and has</w:t>
      </w:r>
      <w:r w:rsidR="003C0C58">
        <w:rPr>
          <w:rFonts w:ascii="Source Sans Pro" w:hAnsi="Source Sans Pro"/>
        </w:rPr>
        <w:t xml:space="preserve"> increasingly</w:t>
      </w:r>
      <w:r>
        <w:rPr>
          <w:rFonts w:ascii="Source Sans Pro" w:hAnsi="Source Sans Pro"/>
        </w:rPr>
        <w:t xml:space="preserve"> greater options at UC and nonprofit universities</w:t>
      </w:r>
      <w:r w:rsidR="005B5C40" w:rsidRPr="00CF29BB">
        <w:rPr>
          <w:rFonts w:ascii="Source Sans Pro" w:hAnsi="Source Sans Pro"/>
        </w:rPr>
        <w:t xml:space="preserve">. Improving the pipeline from community colleges to </w:t>
      </w:r>
      <w:r w:rsidR="005B5C40" w:rsidRPr="00CF29BB">
        <w:rPr>
          <w:rFonts w:ascii="Source Sans Pro" w:hAnsi="Source Sans Pro"/>
        </w:rPr>
        <w:lastRenderedPageBreak/>
        <w:t xml:space="preserve">the </w:t>
      </w:r>
      <w:r>
        <w:rPr>
          <w:rFonts w:ascii="Source Sans Pro" w:hAnsi="Source Sans Pro"/>
        </w:rPr>
        <w:t>UC and CSU, therefore</w:t>
      </w:r>
      <w:r w:rsidR="005B5C40" w:rsidRPr="00CF29BB">
        <w:rPr>
          <w:rFonts w:ascii="Source Sans Pro" w:hAnsi="Source Sans Pro"/>
        </w:rPr>
        <w:t xml:space="preserve"> enabling students to make progress towards a </w:t>
      </w:r>
      <w:r>
        <w:rPr>
          <w:rFonts w:ascii="Source Sans Pro" w:hAnsi="Source Sans Pro"/>
        </w:rPr>
        <w:t>b</w:t>
      </w:r>
      <w:r w:rsidRPr="00CF29BB">
        <w:rPr>
          <w:rFonts w:ascii="Source Sans Pro" w:hAnsi="Source Sans Pro"/>
        </w:rPr>
        <w:t xml:space="preserve">achelor’s </w:t>
      </w:r>
      <w:r w:rsidR="005B5C40" w:rsidRPr="00CF29BB">
        <w:rPr>
          <w:rFonts w:ascii="Source Sans Pro" w:hAnsi="Source Sans Pro"/>
        </w:rPr>
        <w:t>degree</w:t>
      </w:r>
      <w:r>
        <w:rPr>
          <w:rFonts w:ascii="Source Sans Pro" w:hAnsi="Source Sans Pro"/>
        </w:rPr>
        <w:t>,</w:t>
      </w:r>
      <w:r w:rsidR="005B5C40" w:rsidRPr="00CF29BB">
        <w:rPr>
          <w:rFonts w:ascii="Source Sans Pro" w:hAnsi="Source Sans Pro"/>
        </w:rPr>
        <w:t xml:space="preserve"> </w:t>
      </w:r>
      <w:r w:rsidR="00F37D0F" w:rsidRPr="00CF29BB">
        <w:rPr>
          <w:rFonts w:ascii="Source Sans Pro" w:hAnsi="Source Sans Pro"/>
        </w:rPr>
        <w:t xml:space="preserve">is </w:t>
      </w:r>
      <w:r w:rsidR="005B5C40" w:rsidRPr="00CF29BB">
        <w:rPr>
          <w:rFonts w:ascii="Source Sans Pro" w:hAnsi="Source Sans Pro"/>
        </w:rPr>
        <w:t xml:space="preserve">a high priority </w:t>
      </w:r>
      <w:r>
        <w:rPr>
          <w:rFonts w:ascii="Source Sans Pro" w:hAnsi="Source Sans Pro"/>
        </w:rPr>
        <w:t>in</w:t>
      </w:r>
      <w:r w:rsidRPr="00CF29BB">
        <w:rPr>
          <w:rFonts w:ascii="Source Sans Pro" w:hAnsi="Source Sans Pro"/>
        </w:rPr>
        <w:t xml:space="preserve"> </w:t>
      </w:r>
      <w:r w:rsidR="005B5C40" w:rsidRPr="00CF29BB">
        <w:rPr>
          <w:rFonts w:ascii="Source Sans Pro" w:hAnsi="Source Sans Pro"/>
        </w:rPr>
        <w:t xml:space="preserve">the </w:t>
      </w:r>
      <w:r w:rsidR="006564A6" w:rsidRPr="006564A6">
        <w:rPr>
          <w:rFonts w:ascii="Source Sans Pro" w:hAnsi="Source Sans Pro"/>
          <w:i/>
        </w:rPr>
        <w:t>Vision</w:t>
      </w:r>
      <w:r w:rsidR="004C6503">
        <w:rPr>
          <w:rFonts w:ascii="Source Sans Pro" w:hAnsi="Source Sans Pro"/>
          <w:i/>
        </w:rPr>
        <w:t xml:space="preserve">. </w:t>
      </w:r>
      <w:r w:rsidR="005B5C40" w:rsidRPr="00CF29BB">
        <w:rPr>
          <w:rFonts w:ascii="Source Sans Pro" w:hAnsi="Source Sans Pro"/>
        </w:rPr>
        <w:t xml:space="preserve"> </w:t>
      </w:r>
    </w:p>
    <w:p w14:paraId="5A79A650" w14:textId="77777777" w:rsidR="00443BA0" w:rsidRPr="00CF29BB" w:rsidRDefault="00443BA0" w:rsidP="00443BA0">
      <w:pPr>
        <w:pStyle w:val="Heading2"/>
      </w:pPr>
      <w:r w:rsidRPr="00CF29BB">
        <w:t xml:space="preserve">What will happen if a student transfers without getting a degree? </w:t>
      </w:r>
    </w:p>
    <w:p w14:paraId="07EE38E9" w14:textId="77777777" w:rsidR="005B5C40" w:rsidRPr="00CF29BB" w:rsidRDefault="005B5C40" w:rsidP="005B5C40">
      <w:pPr>
        <w:rPr>
          <w:rFonts w:ascii="Source Sans Pro" w:hAnsi="Source Sans Pro"/>
        </w:rPr>
      </w:pPr>
      <w:r w:rsidRPr="00CF29BB">
        <w:rPr>
          <w:rFonts w:ascii="Source Sans Pro" w:hAnsi="Source Sans Pro"/>
        </w:rPr>
        <w:t>Students who choose not to get a degree</w:t>
      </w:r>
      <w:r w:rsidR="00F37D0F" w:rsidRPr="00CF29BB">
        <w:rPr>
          <w:rFonts w:ascii="Source Sans Pro" w:hAnsi="Source Sans Pro"/>
        </w:rPr>
        <w:t>, but</w:t>
      </w:r>
      <w:r w:rsidR="00F26BA4" w:rsidRPr="00CF29BB">
        <w:rPr>
          <w:rFonts w:ascii="Source Sans Pro" w:hAnsi="Source Sans Pro"/>
        </w:rPr>
        <w:t xml:space="preserve"> </w:t>
      </w:r>
      <w:r w:rsidR="00F37D0F" w:rsidRPr="00CF29BB">
        <w:rPr>
          <w:rFonts w:ascii="Source Sans Pro" w:hAnsi="Source Sans Pro"/>
        </w:rPr>
        <w:t xml:space="preserve">transfer to a four-year institution </w:t>
      </w:r>
      <w:r w:rsidR="00F26BA4" w:rsidRPr="00CF29BB">
        <w:rPr>
          <w:rFonts w:ascii="Source Sans Pro" w:hAnsi="Source Sans Pro"/>
        </w:rPr>
        <w:t>without a degree</w:t>
      </w:r>
      <w:r w:rsidR="009435DD">
        <w:rPr>
          <w:rFonts w:ascii="Source Sans Pro" w:hAnsi="Source Sans Pro"/>
        </w:rPr>
        <w:t>,</w:t>
      </w:r>
      <w:r w:rsidR="00F26BA4" w:rsidRPr="00CF29BB">
        <w:rPr>
          <w:rFonts w:ascii="Source Sans Pro" w:hAnsi="Source Sans Pro"/>
        </w:rPr>
        <w:t xml:space="preserve"> </w:t>
      </w:r>
      <w:r w:rsidR="00F37D0F" w:rsidRPr="00CF29BB">
        <w:rPr>
          <w:rFonts w:ascii="Source Sans Pro" w:hAnsi="Source Sans Pro"/>
        </w:rPr>
        <w:t xml:space="preserve">will </w:t>
      </w:r>
      <w:r w:rsidR="00F26BA4" w:rsidRPr="00CF29BB">
        <w:rPr>
          <w:rFonts w:ascii="Source Sans Pro" w:hAnsi="Source Sans Pro"/>
        </w:rPr>
        <w:t xml:space="preserve">still </w:t>
      </w:r>
      <w:r w:rsidR="00F37D0F" w:rsidRPr="00CF29BB">
        <w:rPr>
          <w:rFonts w:ascii="Source Sans Pro" w:hAnsi="Source Sans Pro"/>
        </w:rPr>
        <w:t xml:space="preserve">generate </w:t>
      </w:r>
      <w:r w:rsidR="00BF37DF">
        <w:rPr>
          <w:rFonts w:ascii="Source Sans Pro" w:hAnsi="Source Sans Pro"/>
        </w:rPr>
        <w:t>funds under the count of students who successfully transfer to a four-year university</w:t>
      </w:r>
      <w:r w:rsidRPr="00CF29BB">
        <w:rPr>
          <w:rFonts w:ascii="Source Sans Pro" w:hAnsi="Source Sans Pro"/>
        </w:rPr>
        <w:t xml:space="preserve">. While </w:t>
      </w:r>
      <w:r w:rsidR="00973389">
        <w:rPr>
          <w:rFonts w:ascii="Source Sans Pro" w:hAnsi="Source Sans Pro"/>
        </w:rPr>
        <w:t>some</w:t>
      </w:r>
      <w:r w:rsidRPr="00CF29BB">
        <w:rPr>
          <w:rFonts w:ascii="Source Sans Pro" w:hAnsi="Source Sans Pro"/>
        </w:rPr>
        <w:t xml:space="preserve"> students may not get a degree for a variety of reasons</w:t>
      </w:r>
      <w:r w:rsidR="00F37D0F" w:rsidRPr="00CF29BB">
        <w:rPr>
          <w:rFonts w:ascii="Source Sans Pro" w:hAnsi="Source Sans Pro"/>
        </w:rPr>
        <w:t xml:space="preserve">, </w:t>
      </w:r>
      <w:r w:rsidRPr="00CF29BB">
        <w:rPr>
          <w:rFonts w:ascii="Source Sans Pro" w:hAnsi="Source Sans Pro"/>
        </w:rPr>
        <w:t>leaving the system without a degree leaves a student in a weaker position in our education and skills-based economy. Even if the student successfully transfers to a four-year institution</w:t>
      </w:r>
      <w:r w:rsidR="00574172">
        <w:rPr>
          <w:rFonts w:ascii="Source Sans Pro" w:hAnsi="Source Sans Pro"/>
        </w:rPr>
        <w:t>,</w:t>
      </w:r>
      <w:r w:rsidRPr="00CF29BB">
        <w:rPr>
          <w:rFonts w:ascii="Source Sans Pro" w:hAnsi="Source Sans Pro"/>
        </w:rPr>
        <w:t xml:space="preserve"> there is always a risk that the student </w:t>
      </w:r>
      <w:r w:rsidR="00F37D0F" w:rsidRPr="00CF29BB">
        <w:rPr>
          <w:rFonts w:ascii="Source Sans Pro" w:hAnsi="Source Sans Pro"/>
        </w:rPr>
        <w:t xml:space="preserve">may </w:t>
      </w:r>
      <w:r w:rsidR="009435DD">
        <w:rPr>
          <w:rFonts w:ascii="Source Sans Pro" w:hAnsi="Source Sans Pro"/>
        </w:rPr>
        <w:t>not complete</w:t>
      </w:r>
      <w:r w:rsidRPr="00CF29BB">
        <w:rPr>
          <w:rFonts w:ascii="Source Sans Pro" w:hAnsi="Source Sans Pro"/>
        </w:rPr>
        <w:t xml:space="preserve"> a four-year degree.</w:t>
      </w:r>
    </w:p>
    <w:p w14:paraId="590A010F" w14:textId="77777777" w:rsidR="00443BA0" w:rsidRPr="00CF29BB" w:rsidRDefault="00443BA0" w:rsidP="00443BA0">
      <w:pPr>
        <w:pStyle w:val="Heading2"/>
      </w:pPr>
      <w:r w:rsidRPr="00CF29BB">
        <w:t xml:space="preserve">Are noncredit certificates eligible for points under the </w:t>
      </w:r>
      <w:r w:rsidR="00E772FA">
        <w:t>S</w:t>
      </w:r>
      <w:r w:rsidRPr="00CF29BB">
        <w:t xml:space="preserve">tudent </w:t>
      </w:r>
      <w:r w:rsidR="00B53386" w:rsidRPr="00CF29BB">
        <w:t>Success Allocation</w:t>
      </w:r>
      <w:r w:rsidRPr="00CF29BB">
        <w:t xml:space="preserve">? </w:t>
      </w:r>
    </w:p>
    <w:p w14:paraId="6FD7820D" w14:textId="77777777" w:rsidR="00443BA0" w:rsidRPr="00CF29BB" w:rsidRDefault="00973389" w:rsidP="00443BA0">
      <w:pPr>
        <w:rPr>
          <w:rFonts w:ascii="Source Sans Pro" w:hAnsi="Source Sans Pro"/>
        </w:rPr>
      </w:pPr>
      <w:r>
        <w:rPr>
          <w:rFonts w:ascii="Source Sans Pro" w:hAnsi="Source Sans Pro"/>
        </w:rPr>
        <w:t>No.</w:t>
      </w:r>
    </w:p>
    <w:p w14:paraId="39A51240" w14:textId="77777777" w:rsidR="00443BA0" w:rsidRPr="00CF29BB" w:rsidRDefault="00443BA0" w:rsidP="00443BA0">
      <w:pPr>
        <w:pStyle w:val="Heading2"/>
      </w:pPr>
      <w:r w:rsidRPr="00CF29BB">
        <w:t xml:space="preserve">How does </w:t>
      </w:r>
      <w:r w:rsidR="004C6503">
        <w:t>time to degree factor into the S</w:t>
      </w:r>
      <w:r w:rsidRPr="00CF29BB">
        <w:t xml:space="preserve">tudent </w:t>
      </w:r>
      <w:r w:rsidR="00B53386" w:rsidRPr="00CF29BB">
        <w:t>Success Allocation</w:t>
      </w:r>
      <w:r w:rsidRPr="00CF29BB">
        <w:t>?</w:t>
      </w:r>
    </w:p>
    <w:p w14:paraId="0CB9FFE3" w14:textId="77777777" w:rsidR="00443BA0" w:rsidRPr="00CF29BB" w:rsidRDefault="00C6286D" w:rsidP="00443BA0">
      <w:pPr>
        <w:rPr>
          <w:rFonts w:ascii="Source Sans Pro" w:hAnsi="Source Sans Pro"/>
        </w:rPr>
      </w:pPr>
      <w:r w:rsidRPr="00CF29BB">
        <w:rPr>
          <w:rFonts w:ascii="Source Sans Pro" w:hAnsi="Source Sans Pro"/>
        </w:rPr>
        <w:t xml:space="preserve">At this point, time to degree is not factor in the SCFF. </w:t>
      </w:r>
      <w:r w:rsidR="00E92B64" w:rsidRPr="00CF29BB">
        <w:rPr>
          <w:rFonts w:ascii="Source Sans Pro" w:hAnsi="Source Sans Pro"/>
        </w:rPr>
        <w:t xml:space="preserve">However, the </w:t>
      </w:r>
      <w:r w:rsidR="006564A6" w:rsidRPr="006564A6">
        <w:rPr>
          <w:rFonts w:ascii="Source Sans Pro" w:hAnsi="Source Sans Pro"/>
          <w:i/>
        </w:rPr>
        <w:t>Vision</w:t>
      </w:r>
      <w:r w:rsidR="00E92B64" w:rsidRPr="00CF29BB">
        <w:rPr>
          <w:rFonts w:ascii="Source Sans Pro" w:hAnsi="Source Sans Pro"/>
        </w:rPr>
        <w:t xml:space="preserve"> does include a goal related to reducing the number of units students achieve to accomplish successful transfer.</w:t>
      </w:r>
    </w:p>
    <w:p w14:paraId="569A6AC0" w14:textId="77777777" w:rsidR="00762995" w:rsidRPr="00CF29BB" w:rsidRDefault="00A546C3" w:rsidP="00C6286D">
      <w:pPr>
        <w:pStyle w:val="Heading1"/>
        <w:ind w:left="0" w:hanging="450"/>
        <w:rPr>
          <w:rFonts w:ascii="Source Sans Pro" w:hAnsi="Source Sans Pro"/>
          <w:color w:val="002F6D"/>
        </w:rPr>
      </w:pPr>
      <w:bookmarkStart w:id="54" w:name="_Toc536798199"/>
      <w:r w:rsidRPr="00CF29BB">
        <w:rPr>
          <w:rFonts w:ascii="Source Sans Pro" w:hAnsi="Source Sans Pro"/>
          <w:color w:val="002F6D"/>
        </w:rPr>
        <w:t>Funding Amounts</w:t>
      </w:r>
      <w:r w:rsidR="00762995" w:rsidRPr="00CF29BB">
        <w:rPr>
          <w:rFonts w:ascii="Source Sans Pro" w:hAnsi="Source Sans Pro"/>
          <w:color w:val="002F6D"/>
        </w:rPr>
        <w:t xml:space="preserve"> and Timing</w:t>
      </w:r>
      <w:bookmarkEnd w:id="54"/>
      <w:r w:rsidRPr="00CF29BB">
        <w:rPr>
          <w:rFonts w:ascii="Source Sans Pro" w:hAnsi="Source Sans Pro"/>
          <w:color w:val="002F6D"/>
        </w:rPr>
        <w:t xml:space="preserve"> </w:t>
      </w:r>
    </w:p>
    <w:p w14:paraId="7CFE25EE" w14:textId="77777777" w:rsidR="00762995" w:rsidRPr="00CF29BB" w:rsidRDefault="00A546C3" w:rsidP="00762995">
      <w:pPr>
        <w:pStyle w:val="Heading2"/>
        <w:ind w:left="450" w:hanging="464"/>
      </w:pPr>
      <w:bookmarkStart w:id="55" w:name="_Toc518053158"/>
      <w:r w:rsidRPr="00CF29BB">
        <w:t xml:space="preserve">Is this a zero sum formula (i.e. if all </w:t>
      </w:r>
      <w:r w:rsidR="009435DD">
        <w:t>districts</w:t>
      </w:r>
      <w:r w:rsidRPr="00CF29BB">
        <w:t xml:space="preserve"> increase their equity and success metrics does their apportionment increase as well)? </w:t>
      </w:r>
      <w:r w:rsidR="00762995" w:rsidRPr="00CF29BB">
        <w:t>Is there a limit on growth in the supplemental or student success metrics? D</w:t>
      </w:r>
      <w:r w:rsidRPr="00CF29BB">
        <w:t>oes this mean that total funding to the community college system will need to increase if systemwide successful outcomes increase</w:t>
      </w:r>
      <w:r w:rsidR="00574172">
        <w:t>,</w:t>
      </w:r>
      <w:r w:rsidRPr="00CF29BB">
        <w:t xml:space="preserve"> or is there a cap on the funding increase? </w:t>
      </w:r>
      <w:bookmarkStart w:id="56" w:name="_Toc518053179"/>
      <w:r w:rsidR="00762995" w:rsidRPr="00CF29BB">
        <w:t xml:space="preserve">As colleges earn more points in future years, will colleges get less </w:t>
      </w:r>
      <w:r w:rsidR="00574172">
        <w:t>funding per point</w:t>
      </w:r>
      <w:r w:rsidR="00762995" w:rsidRPr="00CF29BB">
        <w:t>?</w:t>
      </w:r>
      <w:bookmarkEnd w:id="56"/>
      <w:r w:rsidR="00762995" w:rsidRPr="00CF29BB">
        <w:t xml:space="preserve"> </w:t>
      </w:r>
    </w:p>
    <w:p w14:paraId="3D022807" w14:textId="77777777" w:rsidR="00962B7F" w:rsidRDefault="00BF37DF" w:rsidP="00962B7F">
      <w:pPr>
        <w:ind w:left="499" w:right="0"/>
        <w:rPr>
          <w:rFonts w:ascii="Source Sans Pro" w:hAnsi="Source Sans Pro"/>
        </w:rPr>
      </w:pPr>
      <w:r>
        <w:rPr>
          <w:rFonts w:ascii="Source Sans Pro" w:hAnsi="Source Sans Pro"/>
        </w:rPr>
        <w:t>The statute funds each district based on what the formula factors generate for that district. Therefore, under the law, the funding for other districts does not affect a district’s formula calculation.</w:t>
      </w:r>
    </w:p>
    <w:p w14:paraId="16C66518" w14:textId="77777777" w:rsidR="00AE37E1" w:rsidRPr="00CF29BB" w:rsidRDefault="00962B7F" w:rsidP="00962B7F">
      <w:pPr>
        <w:ind w:left="499" w:right="0"/>
        <w:rPr>
          <w:rFonts w:ascii="Source Sans Pro" w:hAnsi="Source Sans Pro"/>
        </w:rPr>
      </w:pPr>
      <w:r>
        <w:rPr>
          <w:rFonts w:ascii="Source Sans Pro" w:hAnsi="Source Sans Pro"/>
        </w:rPr>
        <w:t>In total, the state generally funds the community colleges at t</w:t>
      </w:r>
      <w:r w:rsidR="00224C21">
        <w:rPr>
          <w:rFonts w:ascii="Source Sans Pro" w:hAnsi="Source Sans Pro"/>
        </w:rPr>
        <w:t>he minimum level required by California Constitution (Proposition 98). Therefore, to the extent existing obligations exceed the minimum guarantee, the Governor and the legislature will need to determine how to fund those costs or adjust programs.</w:t>
      </w:r>
      <w:r w:rsidR="00762995" w:rsidRPr="00CF29BB">
        <w:rPr>
          <w:rFonts w:ascii="Source Sans Pro" w:hAnsi="Source Sans Pro"/>
        </w:rPr>
        <w:t xml:space="preserve"> </w:t>
      </w:r>
    </w:p>
    <w:p w14:paraId="5421074F" w14:textId="77777777" w:rsidR="007A61BE" w:rsidRPr="00CF29BB" w:rsidRDefault="007A61BE" w:rsidP="007A61BE">
      <w:pPr>
        <w:pStyle w:val="Heading2"/>
        <w:spacing w:after="125" w:line="270" w:lineRule="auto"/>
        <w:ind w:left="450" w:hanging="464"/>
      </w:pPr>
      <w:r w:rsidRPr="00CF29BB">
        <w:rPr>
          <w:rFonts w:eastAsia="Calibri"/>
        </w:rPr>
        <w:t xml:space="preserve">Will my district receive </w:t>
      </w:r>
      <w:r w:rsidRPr="00CF29BB">
        <w:t>70</w:t>
      </w:r>
      <w:r w:rsidR="009D32F3">
        <w:t xml:space="preserve"> </w:t>
      </w:r>
      <w:r w:rsidR="000220FE">
        <w:rPr>
          <w:rFonts w:eastAsia="Calibri"/>
        </w:rPr>
        <w:t>percent</w:t>
      </w:r>
      <w:r w:rsidRPr="00CF29BB">
        <w:rPr>
          <w:rFonts w:eastAsia="Calibri"/>
        </w:rPr>
        <w:t xml:space="preserve"> of its funding from the Base, 20</w:t>
      </w:r>
      <w:r w:rsidR="009D32F3">
        <w:rPr>
          <w:rFonts w:eastAsia="Calibri"/>
        </w:rPr>
        <w:t xml:space="preserve"> </w:t>
      </w:r>
      <w:r w:rsidR="000220FE">
        <w:rPr>
          <w:rFonts w:eastAsia="Calibri"/>
        </w:rPr>
        <w:t>percent</w:t>
      </w:r>
      <w:r w:rsidRPr="00CF29BB">
        <w:rPr>
          <w:rFonts w:eastAsia="Calibri"/>
        </w:rPr>
        <w:t xml:space="preserve"> from the </w:t>
      </w:r>
      <w:r w:rsidR="00B53386" w:rsidRPr="00CF29BB">
        <w:rPr>
          <w:rFonts w:eastAsia="Calibri"/>
        </w:rPr>
        <w:t>Supplemental Allocation</w:t>
      </w:r>
      <w:r w:rsidRPr="00CF29BB">
        <w:rPr>
          <w:rFonts w:eastAsia="Calibri"/>
        </w:rPr>
        <w:t xml:space="preserve">, and </w:t>
      </w:r>
      <w:r w:rsidRPr="00CF29BB">
        <w:t>10</w:t>
      </w:r>
      <w:r w:rsidR="009D32F3">
        <w:t xml:space="preserve"> </w:t>
      </w:r>
      <w:r w:rsidR="000220FE">
        <w:rPr>
          <w:rFonts w:eastAsia="Calibri"/>
        </w:rPr>
        <w:t>percent</w:t>
      </w:r>
      <w:r w:rsidRPr="00CF29BB">
        <w:rPr>
          <w:rFonts w:eastAsia="Calibri"/>
        </w:rPr>
        <w:t xml:space="preserve"> from the </w:t>
      </w:r>
      <w:r w:rsidR="00B53386" w:rsidRPr="00CF29BB">
        <w:rPr>
          <w:rFonts w:eastAsia="Calibri"/>
        </w:rPr>
        <w:t>Success Allocation</w:t>
      </w:r>
      <w:r w:rsidRPr="00CF29BB">
        <w:rPr>
          <w:rFonts w:eastAsia="Calibri"/>
        </w:rPr>
        <w:t>?</w:t>
      </w:r>
      <w:bookmarkEnd w:id="55"/>
      <w:r w:rsidRPr="00CF29BB">
        <w:rPr>
          <w:rFonts w:eastAsia="Calibri"/>
        </w:rPr>
        <w:t xml:space="preserve"> </w:t>
      </w:r>
      <w:r w:rsidR="00762995" w:rsidRPr="00CF29BB">
        <w:t>How is the phase-in from the 70-20-10 split to the 60-20-20 split going to be implemented? Will the dollars per point and dollars per credit FTES</w:t>
      </w:r>
      <w:r w:rsidR="004C6503">
        <w:t xml:space="preserve"> change</w:t>
      </w:r>
      <w:r w:rsidR="00762995" w:rsidRPr="00CF29BB">
        <w:t>?</w:t>
      </w:r>
    </w:p>
    <w:p w14:paraId="12224761" w14:textId="77777777" w:rsidR="00762995" w:rsidRPr="00CF29BB" w:rsidRDefault="00762995" w:rsidP="00762995">
      <w:pPr>
        <w:rPr>
          <w:rFonts w:ascii="Source Sans Pro" w:hAnsi="Source Sans Pro"/>
        </w:rPr>
      </w:pPr>
      <w:bookmarkStart w:id="57" w:name="_Toc518053159"/>
      <w:r w:rsidRPr="00CF29BB">
        <w:rPr>
          <w:rFonts w:ascii="Source Sans Pro" w:hAnsi="Source Sans Pro"/>
        </w:rPr>
        <w:t xml:space="preserve">The funding formula has a three-year phase in. In </w:t>
      </w:r>
      <w:r w:rsidR="000220FE">
        <w:rPr>
          <w:rFonts w:ascii="Source Sans Pro" w:hAnsi="Source Sans Pro"/>
        </w:rPr>
        <w:t>2018-19</w:t>
      </w:r>
      <w:r w:rsidRPr="00CF29BB">
        <w:rPr>
          <w:rFonts w:ascii="Source Sans Pro" w:hAnsi="Source Sans Pro"/>
        </w:rPr>
        <w:t>, approximately 70</w:t>
      </w:r>
      <w:r w:rsidR="009D32F3">
        <w:rPr>
          <w:rFonts w:ascii="Source Sans Pro" w:hAnsi="Source Sans Pro"/>
        </w:rPr>
        <w:t xml:space="preserve"> </w:t>
      </w:r>
      <w:r w:rsidR="000220FE">
        <w:rPr>
          <w:rFonts w:ascii="Source Sans Pro" w:hAnsi="Source Sans Pro"/>
        </w:rPr>
        <w:t>percent</w:t>
      </w:r>
      <w:r w:rsidRPr="00CF29BB">
        <w:rPr>
          <w:rFonts w:ascii="Source Sans Pro" w:hAnsi="Source Sans Pro"/>
        </w:rPr>
        <w:t xml:space="preserve"> of </w:t>
      </w:r>
      <w:r w:rsidR="00224C21">
        <w:rPr>
          <w:rFonts w:ascii="Source Sans Pro" w:hAnsi="Source Sans Pro"/>
        </w:rPr>
        <w:t>statewide</w:t>
      </w:r>
      <w:r w:rsidR="00224C21" w:rsidRPr="00CF29BB">
        <w:rPr>
          <w:rFonts w:ascii="Source Sans Pro" w:hAnsi="Source Sans Pro"/>
        </w:rPr>
        <w:t xml:space="preserve"> </w:t>
      </w:r>
      <w:r w:rsidRPr="00CF29BB">
        <w:rPr>
          <w:rFonts w:ascii="Source Sans Pro" w:hAnsi="Source Sans Pro"/>
        </w:rPr>
        <w:t xml:space="preserve">funding will be </w:t>
      </w:r>
      <w:r w:rsidR="00224C21">
        <w:rPr>
          <w:rFonts w:ascii="Source Sans Pro" w:hAnsi="Source Sans Pro"/>
        </w:rPr>
        <w:t>for the Base Allocation</w:t>
      </w:r>
      <w:r w:rsidRPr="00CF29BB">
        <w:rPr>
          <w:rFonts w:ascii="Source Sans Pro" w:hAnsi="Source Sans Pro"/>
        </w:rPr>
        <w:t>, approximately 20</w:t>
      </w:r>
      <w:r w:rsidR="009D32F3">
        <w:rPr>
          <w:rFonts w:ascii="Source Sans Pro" w:hAnsi="Source Sans Pro"/>
        </w:rPr>
        <w:t xml:space="preserve"> </w:t>
      </w:r>
      <w:r w:rsidR="000220FE">
        <w:rPr>
          <w:rFonts w:ascii="Source Sans Pro" w:hAnsi="Source Sans Pro"/>
        </w:rPr>
        <w:t>percent</w:t>
      </w:r>
      <w:r w:rsidR="00C249C7" w:rsidRPr="00CF29BB">
        <w:rPr>
          <w:rFonts w:ascii="Source Sans Pro" w:hAnsi="Source Sans Pro"/>
        </w:rPr>
        <w:t xml:space="preserve"> </w:t>
      </w:r>
      <w:r w:rsidR="00224C21">
        <w:rPr>
          <w:rFonts w:ascii="Source Sans Pro" w:hAnsi="Source Sans Pro"/>
        </w:rPr>
        <w:t>for the Supplemental Allocation</w:t>
      </w:r>
      <w:r w:rsidRPr="00EA16CA">
        <w:rPr>
          <w:rFonts w:ascii="Source Sans Pro" w:hAnsi="Source Sans Pro"/>
        </w:rPr>
        <w:t xml:space="preserve">, </w:t>
      </w:r>
      <w:r w:rsidRPr="009D32F3">
        <w:rPr>
          <w:rFonts w:ascii="Source Sans Pro" w:hAnsi="Source Sans Pro"/>
        </w:rPr>
        <w:t xml:space="preserve">and </w:t>
      </w:r>
      <w:r w:rsidR="00EA16CA" w:rsidRPr="009D32F3">
        <w:rPr>
          <w:rFonts w:ascii="Source Sans Pro" w:hAnsi="Source Sans Pro"/>
        </w:rPr>
        <w:lastRenderedPageBreak/>
        <w:t xml:space="preserve">approximately </w:t>
      </w:r>
      <w:r w:rsidRPr="009D32F3">
        <w:rPr>
          <w:rFonts w:ascii="Source Sans Pro" w:hAnsi="Source Sans Pro"/>
        </w:rPr>
        <w:t>10</w:t>
      </w:r>
      <w:r w:rsidR="009D32F3">
        <w:rPr>
          <w:rFonts w:ascii="Source Sans Pro" w:hAnsi="Source Sans Pro"/>
        </w:rPr>
        <w:t xml:space="preserve"> </w:t>
      </w:r>
      <w:r w:rsidR="000220FE" w:rsidRPr="00EA16CA">
        <w:rPr>
          <w:rFonts w:ascii="Source Sans Pro" w:hAnsi="Source Sans Pro"/>
        </w:rPr>
        <w:t>percent</w:t>
      </w:r>
      <w:r w:rsidRPr="00EA16CA">
        <w:rPr>
          <w:rFonts w:ascii="Source Sans Pro" w:hAnsi="Source Sans Pro"/>
        </w:rPr>
        <w:t xml:space="preserve"> </w:t>
      </w:r>
      <w:r w:rsidR="00224C21">
        <w:rPr>
          <w:rFonts w:ascii="Source Sans Pro" w:hAnsi="Source Sans Pro"/>
        </w:rPr>
        <w:t>for the Student Success Allocation</w:t>
      </w:r>
      <w:r w:rsidRPr="00EA16CA">
        <w:rPr>
          <w:rFonts w:ascii="Source Sans Pro" w:hAnsi="Source Sans Pro"/>
        </w:rPr>
        <w:t xml:space="preserve">. </w:t>
      </w:r>
      <w:r w:rsidR="00224C21">
        <w:rPr>
          <w:rFonts w:ascii="Source Sans Pro" w:hAnsi="Source Sans Pro"/>
        </w:rPr>
        <w:t>The law is designed so that, in</w:t>
      </w:r>
      <w:r w:rsidR="00224C21" w:rsidRPr="00EA16CA">
        <w:rPr>
          <w:rFonts w:ascii="Source Sans Pro" w:hAnsi="Source Sans Pro"/>
        </w:rPr>
        <w:t xml:space="preserve"> </w:t>
      </w:r>
      <w:r w:rsidR="000220FE" w:rsidRPr="00EA16CA">
        <w:rPr>
          <w:rFonts w:ascii="Source Sans Pro" w:hAnsi="Source Sans Pro"/>
        </w:rPr>
        <w:t>2019-20</w:t>
      </w:r>
      <w:r w:rsidR="00224C21">
        <w:rPr>
          <w:rFonts w:ascii="Source Sans Pro" w:hAnsi="Source Sans Pro"/>
        </w:rPr>
        <w:t>,</w:t>
      </w:r>
      <w:r w:rsidRPr="00EA16CA">
        <w:rPr>
          <w:rFonts w:ascii="Source Sans Pro" w:hAnsi="Source Sans Pro"/>
        </w:rPr>
        <w:t xml:space="preserve"> those percentages shift to a 65-20-15 split and, in </w:t>
      </w:r>
      <w:r w:rsidR="000220FE" w:rsidRPr="00EA16CA">
        <w:rPr>
          <w:rFonts w:ascii="Source Sans Pro" w:hAnsi="Source Sans Pro"/>
        </w:rPr>
        <w:t>2020-21</w:t>
      </w:r>
      <w:r w:rsidRPr="00EA16CA">
        <w:rPr>
          <w:rFonts w:ascii="Source Sans Pro" w:hAnsi="Source Sans Pro"/>
        </w:rPr>
        <w:t>,</w:t>
      </w:r>
      <w:r w:rsidR="00224C21">
        <w:rPr>
          <w:rFonts w:ascii="Source Sans Pro" w:hAnsi="Source Sans Pro"/>
        </w:rPr>
        <w:t xml:space="preserve"> the percentages shift to</w:t>
      </w:r>
      <w:r w:rsidRPr="00EA16CA">
        <w:rPr>
          <w:rFonts w:ascii="Source Sans Pro" w:hAnsi="Source Sans Pro"/>
        </w:rPr>
        <w:t xml:space="preserve"> a 60-20-20 split.</w:t>
      </w:r>
      <w:r w:rsidRPr="00CF29BB">
        <w:rPr>
          <w:rFonts w:ascii="Source Sans Pro" w:hAnsi="Source Sans Pro"/>
        </w:rPr>
        <w:t xml:space="preserve"> However, individual districts will not necessarily receive funding in th</w:t>
      </w:r>
      <w:r w:rsidR="00F77681" w:rsidRPr="00CF29BB">
        <w:rPr>
          <w:rFonts w:ascii="Source Sans Pro" w:hAnsi="Source Sans Pro"/>
        </w:rPr>
        <w:t>ose</w:t>
      </w:r>
      <w:r w:rsidRPr="00CF29BB">
        <w:rPr>
          <w:rFonts w:ascii="Source Sans Pro" w:hAnsi="Source Sans Pro"/>
        </w:rPr>
        <w:t xml:space="preserve"> proportion</w:t>
      </w:r>
      <w:r w:rsidR="00F77681" w:rsidRPr="00CF29BB">
        <w:rPr>
          <w:rFonts w:ascii="Source Sans Pro" w:hAnsi="Source Sans Pro"/>
        </w:rPr>
        <w:t>s</w:t>
      </w:r>
      <w:r w:rsidRPr="00CF29BB">
        <w:rPr>
          <w:rFonts w:ascii="Source Sans Pro" w:hAnsi="Source Sans Pro"/>
        </w:rPr>
        <w:t>. While the systemwide budget is being divided in this manner, the composition of individual districts’ funding allocations will differ based on each district’s own unique conditions and composition.</w:t>
      </w:r>
    </w:p>
    <w:p w14:paraId="48191A5F" w14:textId="77777777" w:rsidR="00762995" w:rsidRPr="00CF29BB" w:rsidRDefault="00762995" w:rsidP="00762995">
      <w:pPr>
        <w:pStyle w:val="Heading2"/>
        <w:rPr>
          <w:rStyle w:val="Heading2Char"/>
        </w:rPr>
      </w:pPr>
      <w:r w:rsidRPr="00CF29BB">
        <w:rPr>
          <w:rStyle w:val="Heading2Char"/>
        </w:rPr>
        <w:t xml:space="preserve">If a district is to get more via their </w:t>
      </w:r>
      <w:r w:rsidR="000220FE">
        <w:rPr>
          <w:rStyle w:val="Heading2Char"/>
        </w:rPr>
        <w:t>2017-18</w:t>
      </w:r>
      <w:r w:rsidRPr="00CF29BB">
        <w:rPr>
          <w:rStyle w:val="Heading2Char"/>
        </w:rPr>
        <w:t xml:space="preserve"> Fiscal Year apportionment versus the new formula,</w:t>
      </w:r>
      <w:r w:rsidRPr="00CF29BB">
        <w:rPr>
          <w:b/>
          <w:sz w:val="24"/>
        </w:rPr>
        <w:t xml:space="preserve"> </w:t>
      </w:r>
      <w:r w:rsidRPr="00CF29BB">
        <w:rPr>
          <w:rStyle w:val="Heading2Char"/>
        </w:rPr>
        <w:t xml:space="preserve">will COLA be applied to the </w:t>
      </w:r>
      <w:r w:rsidR="000220FE">
        <w:rPr>
          <w:rStyle w:val="Heading2Char"/>
        </w:rPr>
        <w:t>2017-18</w:t>
      </w:r>
      <w:r w:rsidRPr="00CF29BB">
        <w:rPr>
          <w:rStyle w:val="Heading2Char"/>
        </w:rPr>
        <w:t xml:space="preserve"> amount? </w:t>
      </w:r>
    </w:p>
    <w:p w14:paraId="061588F4" w14:textId="77777777" w:rsidR="00762995" w:rsidRPr="00CF29BB" w:rsidRDefault="00762995" w:rsidP="00762995">
      <w:pPr>
        <w:ind w:left="499" w:right="0"/>
        <w:rPr>
          <w:rFonts w:ascii="Source Sans Pro" w:hAnsi="Source Sans Pro"/>
        </w:rPr>
      </w:pPr>
      <w:r w:rsidRPr="00CF29BB">
        <w:rPr>
          <w:rFonts w:ascii="Source Sans Pro" w:hAnsi="Source Sans Pro"/>
        </w:rPr>
        <w:t xml:space="preserve">Yes. </w:t>
      </w:r>
      <w:r w:rsidR="00224C21">
        <w:rPr>
          <w:rFonts w:ascii="Source Sans Pro" w:hAnsi="Source Sans Pro"/>
        </w:rPr>
        <w:t>in 2018-19, districts can expect to receive their</w:t>
      </w:r>
      <w:r w:rsidRPr="00CF29BB">
        <w:rPr>
          <w:rFonts w:ascii="Source Sans Pro" w:hAnsi="Source Sans Pro"/>
        </w:rPr>
        <w:t xml:space="preserve"> </w:t>
      </w:r>
      <w:r w:rsidR="00224C21">
        <w:rPr>
          <w:rFonts w:ascii="Source Sans Pro" w:hAnsi="Source Sans Pro"/>
        </w:rPr>
        <w:t>2017-18</w:t>
      </w:r>
      <w:r w:rsidR="00C249C7" w:rsidRPr="00CF29BB">
        <w:rPr>
          <w:rFonts w:ascii="Source Sans Pro" w:hAnsi="Source Sans Pro"/>
        </w:rPr>
        <w:t xml:space="preserve"> </w:t>
      </w:r>
      <w:r w:rsidR="00F77681" w:rsidRPr="00CF29BB">
        <w:rPr>
          <w:rFonts w:ascii="Source Sans Pro" w:hAnsi="Source Sans Pro"/>
        </w:rPr>
        <w:t>t</w:t>
      </w:r>
      <w:r w:rsidRPr="00CF29BB">
        <w:rPr>
          <w:rFonts w:ascii="Source Sans Pro" w:hAnsi="Source Sans Pro"/>
        </w:rPr>
        <w:t xml:space="preserve">otal </w:t>
      </w:r>
      <w:r w:rsidR="00F77681" w:rsidRPr="00CF29BB">
        <w:rPr>
          <w:rFonts w:ascii="Source Sans Pro" w:hAnsi="Source Sans Pro"/>
        </w:rPr>
        <w:t>r</w:t>
      </w:r>
      <w:r w:rsidRPr="00CF29BB">
        <w:rPr>
          <w:rFonts w:ascii="Source Sans Pro" w:hAnsi="Source Sans Pro"/>
        </w:rPr>
        <w:t xml:space="preserve">evenue </w:t>
      </w:r>
      <w:r w:rsidR="00224C21">
        <w:rPr>
          <w:rFonts w:ascii="Source Sans Pro" w:hAnsi="Source Sans Pro"/>
        </w:rPr>
        <w:t>adjusted by</w:t>
      </w:r>
      <w:r w:rsidRPr="00CF29BB">
        <w:rPr>
          <w:rFonts w:ascii="Source Sans Pro" w:hAnsi="Source Sans Pro"/>
        </w:rPr>
        <w:t xml:space="preserve"> COLA.</w:t>
      </w:r>
    </w:p>
    <w:p w14:paraId="0333B556" w14:textId="77777777" w:rsidR="00E80DD9" w:rsidRPr="00CF29BB" w:rsidRDefault="00762995" w:rsidP="00FF33B0">
      <w:pPr>
        <w:pStyle w:val="Heading2"/>
      </w:pPr>
      <w:bookmarkStart w:id="58" w:name="_Toc518053162"/>
      <w:r w:rsidRPr="00CF29BB">
        <w:t>Will the state still use the P-2 reported amount for the next year's funding?</w:t>
      </w:r>
      <w:bookmarkEnd w:id="58"/>
      <w:r w:rsidRPr="00CF29BB">
        <w:t xml:space="preserve"> </w:t>
      </w:r>
    </w:p>
    <w:p w14:paraId="71C05CA9" w14:textId="77777777" w:rsidR="00E80DD9" w:rsidRPr="00CF29BB" w:rsidRDefault="00224C21" w:rsidP="00E80DD9">
      <w:pPr>
        <w:rPr>
          <w:rFonts w:ascii="Source Sans Pro" w:hAnsi="Source Sans Pro"/>
        </w:rPr>
      </w:pPr>
      <w:r>
        <w:rPr>
          <w:rFonts w:ascii="Source Sans Pro" w:hAnsi="Source Sans Pro"/>
        </w:rPr>
        <w:t>The state will still make a second principal apportionment. For the base allocation, the Chancellor’s Office will continue to rely on final reported measures.</w:t>
      </w:r>
    </w:p>
    <w:p w14:paraId="7BAFB6FB" w14:textId="77777777" w:rsidR="00762995" w:rsidRPr="00CF29BB" w:rsidRDefault="0040658D" w:rsidP="00FF33B0">
      <w:pPr>
        <w:pStyle w:val="Heading2"/>
      </w:pPr>
      <w:r w:rsidRPr="00CF29BB">
        <w:t>If advanced apportionment isn’t done until mid-August, how is our July apportionment going to be calculated and distributed?</w:t>
      </w:r>
    </w:p>
    <w:p w14:paraId="1F0BA835" w14:textId="77777777" w:rsidR="00E80DD9" w:rsidRPr="00CF29BB" w:rsidRDefault="006E4724" w:rsidP="00E80DD9">
      <w:pPr>
        <w:rPr>
          <w:rFonts w:ascii="Source Sans Pro" w:hAnsi="Source Sans Pro"/>
        </w:rPr>
      </w:pPr>
      <w:r w:rsidRPr="00CF29BB">
        <w:rPr>
          <w:rFonts w:ascii="Source Sans Pro" w:hAnsi="Source Sans Pro"/>
        </w:rPr>
        <w:t>July apportionment will be calculated using prior year data</w:t>
      </w:r>
      <w:r w:rsidR="00F77681" w:rsidRPr="00CF29BB">
        <w:rPr>
          <w:rFonts w:ascii="Source Sans Pro" w:hAnsi="Source Sans Pro"/>
        </w:rPr>
        <w:t>.</w:t>
      </w:r>
      <w:r w:rsidR="00591728" w:rsidRPr="00CF29BB">
        <w:rPr>
          <w:rFonts w:ascii="Source Sans Pro" w:hAnsi="Source Sans Pro"/>
        </w:rPr>
        <w:t xml:space="preserve"> August advanced apportionment </w:t>
      </w:r>
      <w:r w:rsidR="00E80DD9" w:rsidRPr="00CF29BB">
        <w:rPr>
          <w:rFonts w:ascii="Source Sans Pro" w:hAnsi="Source Sans Pro"/>
        </w:rPr>
        <w:t xml:space="preserve">calculations are </w:t>
      </w:r>
      <w:r w:rsidR="00591728" w:rsidRPr="00CF29BB">
        <w:rPr>
          <w:rFonts w:ascii="Source Sans Pro" w:hAnsi="Source Sans Pro"/>
        </w:rPr>
        <w:t>based on P2 data</w:t>
      </w:r>
      <w:r w:rsidRPr="00CF29BB">
        <w:rPr>
          <w:rFonts w:ascii="Source Sans Pro" w:hAnsi="Source Sans Pro"/>
        </w:rPr>
        <w:t>. When new data is available</w:t>
      </w:r>
      <w:r w:rsidR="00224C21">
        <w:rPr>
          <w:rFonts w:ascii="Source Sans Pro" w:hAnsi="Source Sans Pro"/>
        </w:rPr>
        <w:t xml:space="preserve">, </w:t>
      </w:r>
      <w:r w:rsidRPr="00CF29BB">
        <w:rPr>
          <w:rFonts w:ascii="Source Sans Pro" w:hAnsi="Source Sans Pro"/>
        </w:rPr>
        <w:t>that data will be used to certify P1 apportionment</w:t>
      </w:r>
      <w:r w:rsidR="00591728" w:rsidRPr="00CF29BB">
        <w:rPr>
          <w:rFonts w:ascii="Source Sans Pro" w:hAnsi="Source Sans Pro"/>
        </w:rPr>
        <w:t xml:space="preserve"> in February. </w:t>
      </w:r>
      <w:bookmarkStart w:id="59" w:name="_Toc518053176"/>
      <w:bookmarkStart w:id="60" w:name="_Toc518053167"/>
    </w:p>
    <w:p w14:paraId="1D40B7D2" w14:textId="77777777" w:rsidR="00E80DD9" w:rsidRPr="00CF29BB" w:rsidRDefault="0040658D" w:rsidP="00E80DD9">
      <w:pPr>
        <w:pStyle w:val="Heading2"/>
        <w:rPr>
          <w:rStyle w:val="Heading2Char"/>
        </w:rPr>
      </w:pPr>
      <w:r w:rsidRPr="00CF29BB">
        <w:t>Will the funding periods (Advance, P1, P2, Recal</w:t>
      </w:r>
      <w:r w:rsidR="00E80DD9" w:rsidRPr="00CF29BB">
        <w:t>c</w:t>
      </w:r>
      <w:r w:rsidRPr="00CF29BB">
        <w:t>) remain the same?</w:t>
      </w:r>
      <w:bookmarkEnd w:id="59"/>
      <w:r w:rsidRPr="00CF29BB">
        <w:rPr>
          <w:rStyle w:val="Heading2Char"/>
        </w:rPr>
        <w:t xml:space="preserve"> </w:t>
      </w:r>
    </w:p>
    <w:p w14:paraId="56D8C077" w14:textId="77777777" w:rsidR="0040658D" w:rsidRPr="00CF29BB" w:rsidRDefault="0040658D" w:rsidP="00E80DD9">
      <w:pPr>
        <w:rPr>
          <w:rFonts w:ascii="Source Sans Pro" w:hAnsi="Source Sans Pro"/>
        </w:rPr>
      </w:pPr>
      <w:r w:rsidRPr="00CF29BB">
        <w:rPr>
          <w:rFonts w:ascii="Source Sans Pro" w:hAnsi="Source Sans Pro"/>
        </w:rPr>
        <w:t xml:space="preserve">Yes. </w:t>
      </w:r>
    </w:p>
    <w:p w14:paraId="545C7284" w14:textId="77777777" w:rsidR="00E80DD9" w:rsidRPr="00CF29BB" w:rsidRDefault="00E80DD9" w:rsidP="00F77681">
      <w:pPr>
        <w:pStyle w:val="Heading2"/>
      </w:pPr>
      <w:r w:rsidRPr="00CF29BB">
        <w:t xml:space="preserve">Will there be a refresh of CCFS 320 data after the </w:t>
      </w:r>
      <w:r w:rsidR="00F77681" w:rsidRPr="00CF29BB">
        <w:t>recalculation</w:t>
      </w:r>
      <w:r w:rsidRPr="00CF29BB">
        <w:t xml:space="preserve"> in Nov</w:t>
      </w:r>
      <w:r w:rsidR="00F77681" w:rsidRPr="00CF29BB">
        <w:t>ember</w:t>
      </w:r>
      <w:r w:rsidRPr="00CF29BB">
        <w:t xml:space="preserve">? </w:t>
      </w:r>
    </w:p>
    <w:p w14:paraId="79A21142" w14:textId="77777777" w:rsidR="007C0593" w:rsidRDefault="00E80DD9" w:rsidP="009435DD">
      <w:r w:rsidRPr="00CF29BB">
        <w:t>Yes</w:t>
      </w:r>
      <w:r w:rsidR="009435DD">
        <w:t>.</w:t>
      </w:r>
      <w:r w:rsidR="009435DD">
        <w:tab/>
      </w:r>
    </w:p>
    <w:p w14:paraId="597D12FA" w14:textId="77777777" w:rsidR="0040658D" w:rsidRPr="00CF29BB" w:rsidRDefault="0040658D" w:rsidP="009D32F3">
      <w:pPr>
        <w:pStyle w:val="Heading2"/>
        <w:rPr>
          <w:rStyle w:val="Heading2Char"/>
        </w:rPr>
      </w:pPr>
      <w:r w:rsidRPr="00CF29BB">
        <w:rPr>
          <w:rStyle w:val="Heading2Char"/>
        </w:rPr>
        <w:t>Is Nov</w:t>
      </w:r>
      <w:r w:rsidR="004C6503">
        <w:rPr>
          <w:rStyle w:val="Heading2Char"/>
        </w:rPr>
        <w:t>ember 30</w:t>
      </w:r>
      <w:r w:rsidRPr="00CF29BB">
        <w:rPr>
          <w:rStyle w:val="Heading2Char"/>
        </w:rPr>
        <w:t xml:space="preserve"> the final date for resubmission of term or annual files for SCFF calculations?</w:t>
      </w:r>
    </w:p>
    <w:p w14:paraId="2E4DE05B" w14:textId="77777777" w:rsidR="00224C21" w:rsidRPr="00CF29BB" w:rsidRDefault="0040658D" w:rsidP="004C6503">
      <w:pPr>
        <w:pStyle w:val="NoSpacing"/>
        <w:spacing w:after="248"/>
        <w:ind w:left="504" w:firstLine="0"/>
        <w:rPr>
          <w:rFonts w:ascii="Source Sans Pro" w:hAnsi="Source Sans Pro"/>
        </w:rPr>
      </w:pPr>
      <w:r w:rsidRPr="00CF29BB">
        <w:rPr>
          <w:rFonts w:ascii="Source Sans Pro" w:hAnsi="Source Sans Pro"/>
        </w:rPr>
        <w:t>Yes</w:t>
      </w:r>
      <w:r w:rsidR="00224C21">
        <w:rPr>
          <w:rFonts w:ascii="Source Sans Pro" w:hAnsi="Source Sans Pro"/>
        </w:rPr>
        <w:t xml:space="preserve">. If a district CEO believes their information is inaccurate, the CEO should email Christian Osmeña at </w:t>
      </w:r>
      <w:hyperlink r:id="rId11" w:history="1">
        <w:r w:rsidR="004C6503" w:rsidRPr="001F0619">
          <w:rPr>
            <w:rStyle w:val="Hyperlink"/>
            <w:rFonts w:ascii="Source Sans Pro" w:hAnsi="Source Sans Pro"/>
          </w:rPr>
          <w:t>cosmena@cccco.edu</w:t>
        </w:r>
      </w:hyperlink>
      <w:r w:rsidR="004C6503">
        <w:rPr>
          <w:rFonts w:ascii="Source Sans Pro" w:hAnsi="Source Sans Pro"/>
        </w:rPr>
        <w:t>.</w:t>
      </w:r>
    </w:p>
    <w:p w14:paraId="7CA4CD3C" w14:textId="77777777" w:rsidR="00FF33B0" w:rsidRPr="00CF29BB" w:rsidRDefault="0040658D" w:rsidP="00FF33B0">
      <w:pPr>
        <w:pStyle w:val="Heading2"/>
      </w:pPr>
      <w:r w:rsidRPr="00CF29BB">
        <w:t xml:space="preserve">How </w:t>
      </w:r>
      <w:r w:rsidR="00FF33B0" w:rsidRPr="00CF29BB">
        <w:t xml:space="preserve">does the new formula impact </w:t>
      </w:r>
      <w:r w:rsidR="00F77681" w:rsidRPr="00CF29BB">
        <w:t>B</w:t>
      </w:r>
      <w:r w:rsidR="00FF33B0" w:rsidRPr="00CF29BB">
        <w:t xml:space="preserve">asic </w:t>
      </w:r>
      <w:r w:rsidR="00F77681" w:rsidRPr="00CF29BB">
        <w:t>A</w:t>
      </w:r>
      <w:r w:rsidR="00FF33B0" w:rsidRPr="00CF29BB">
        <w:t xml:space="preserve">id </w:t>
      </w:r>
      <w:r w:rsidR="00F77681" w:rsidRPr="00CF29BB">
        <w:t>D</w:t>
      </w:r>
      <w:r w:rsidR="00FF33B0" w:rsidRPr="00CF29BB">
        <w:t>istricts?</w:t>
      </w:r>
      <w:bookmarkEnd w:id="60"/>
      <w:r w:rsidR="00FF33B0" w:rsidRPr="00CF29BB">
        <w:t xml:space="preserve"> </w:t>
      </w:r>
    </w:p>
    <w:p w14:paraId="59627041" w14:textId="77777777" w:rsidR="00FF33B0" w:rsidRPr="00CF29BB" w:rsidRDefault="00224C21" w:rsidP="00FF33B0">
      <w:pPr>
        <w:spacing w:after="94" w:line="240" w:lineRule="auto"/>
        <w:ind w:left="504" w:right="0" w:firstLine="0"/>
        <w:rPr>
          <w:rFonts w:ascii="Source Sans Pro" w:hAnsi="Source Sans Pro"/>
        </w:rPr>
      </w:pPr>
      <w:r>
        <w:rPr>
          <w:rFonts w:ascii="Source Sans Pro" w:hAnsi="Source Sans Pro"/>
        </w:rPr>
        <w:t>The SCFF applies to all districts.</w:t>
      </w:r>
      <w:r w:rsidR="00E80DD9" w:rsidRPr="00CF29BB">
        <w:rPr>
          <w:rFonts w:ascii="Source Sans Pro" w:hAnsi="Source Sans Pro"/>
        </w:rPr>
        <w:t xml:space="preserve"> However, Basic Aid districts will still retain all property tax revenues over and above their calculated SCFF apportionment.</w:t>
      </w:r>
    </w:p>
    <w:p w14:paraId="30795863" w14:textId="77777777" w:rsidR="00C249C7" w:rsidRPr="00CF29BB" w:rsidRDefault="00FF33B0" w:rsidP="00FF33B0">
      <w:pPr>
        <w:pStyle w:val="Heading2"/>
      </w:pPr>
      <w:r w:rsidRPr="00CF29BB">
        <w:t>Is</w:t>
      </w:r>
      <w:r w:rsidR="00574172">
        <w:t xml:space="preserve"> the</w:t>
      </w:r>
      <w:r w:rsidRPr="00CF29BB">
        <w:t xml:space="preserve"> academic year summer to spring?</w:t>
      </w:r>
    </w:p>
    <w:p w14:paraId="3A40A196" w14:textId="77777777" w:rsidR="00C249C7" w:rsidRPr="00CF29BB" w:rsidRDefault="00C249C7" w:rsidP="00C249C7">
      <w:pPr>
        <w:rPr>
          <w:rFonts w:ascii="Source Sans Pro" w:hAnsi="Source Sans Pro"/>
        </w:rPr>
      </w:pPr>
      <w:r w:rsidRPr="00CF29BB">
        <w:rPr>
          <w:rFonts w:ascii="Source Sans Pro" w:hAnsi="Source Sans Pro"/>
        </w:rPr>
        <w:t>The academic year is summer, fall, winter, spring in any given year.</w:t>
      </w:r>
    </w:p>
    <w:p w14:paraId="5C83C63E" w14:textId="77777777" w:rsidR="00FF33B0" w:rsidRPr="00CF29BB" w:rsidRDefault="00FF33B0" w:rsidP="00FF33B0">
      <w:pPr>
        <w:pStyle w:val="Heading2"/>
      </w:pPr>
      <w:r w:rsidRPr="00CF29BB">
        <w:t xml:space="preserve"> </w:t>
      </w:r>
      <w:r w:rsidR="00005CF3" w:rsidRPr="00CF29BB">
        <w:t>How are units handled for colleges on the quarter system</w:t>
      </w:r>
      <w:r w:rsidRPr="00CF29BB">
        <w:t>?</w:t>
      </w:r>
    </w:p>
    <w:p w14:paraId="46590EB1" w14:textId="77777777" w:rsidR="00FF33B0" w:rsidRPr="00CF29BB" w:rsidRDefault="00FF33B0" w:rsidP="00FF33B0">
      <w:pPr>
        <w:rPr>
          <w:rFonts w:ascii="Source Sans Pro" w:hAnsi="Source Sans Pro"/>
        </w:rPr>
      </w:pPr>
      <w:r w:rsidRPr="00CF29BB">
        <w:rPr>
          <w:rFonts w:ascii="Source Sans Pro" w:hAnsi="Source Sans Pro"/>
        </w:rPr>
        <w:t>In the case of colleges that have quarter terms instead of semester terms</w:t>
      </w:r>
      <w:r w:rsidR="00574172">
        <w:rPr>
          <w:rFonts w:ascii="Source Sans Pro" w:hAnsi="Source Sans Pro"/>
        </w:rPr>
        <w:t>,</w:t>
      </w:r>
      <w:r w:rsidR="004C6503">
        <w:rPr>
          <w:rFonts w:ascii="Source Sans Pro" w:hAnsi="Source Sans Pro"/>
        </w:rPr>
        <w:t xml:space="preserve"> the Chancellor’s O</w:t>
      </w:r>
      <w:r w:rsidRPr="00CF29BB">
        <w:rPr>
          <w:rFonts w:ascii="Source Sans Pro" w:hAnsi="Source Sans Pro"/>
        </w:rPr>
        <w:t>ffice converts units to semester values.</w:t>
      </w:r>
    </w:p>
    <w:p w14:paraId="619571CB" w14:textId="77777777" w:rsidR="00FF33B0" w:rsidRPr="00CF29BB" w:rsidRDefault="00FF33B0" w:rsidP="00FF33B0">
      <w:pPr>
        <w:pStyle w:val="Heading2"/>
      </w:pPr>
      <w:bookmarkStart w:id="61" w:name="_Toc518053166"/>
      <w:r w:rsidRPr="00CF29BB">
        <w:lastRenderedPageBreak/>
        <w:t>Will districts with differential rates for FTES funding continue to be funded at their higher rates?</w:t>
      </w:r>
      <w:bookmarkEnd w:id="61"/>
      <w:r w:rsidRPr="00CF29BB">
        <w:t xml:space="preserve"> </w:t>
      </w:r>
    </w:p>
    <w:p w14:paraId="3D3B5C40" w14:textId="77777777" w:rsidR="00FF33B0" w:rsidRPr="00CF29BB" w:rsidRDefault="00FF33B0" w:rsidP="00FF33B0">
      <w:pPr>
        <w:ind w:left="499" w:right="0"/>
        <w:rPr>
          <w:rFonts w:ascii="Source Sans Pro" w:hAnsi="Source Sans Pro"/>
        </w:rPr>
      </w:pPr>
      <w:r w:rsidRPr="00CF29BB">
        <w:rPr>
          <w:rFonts w:ascii="Source Sans Pro" w:hAnsi="Source Sans Pro"/>
        </w:rPr>
        <w:t>Yes</w:t>
      </w:r>
      <w:r w:rsidR="00005CF3" w:rsidRPr="00CF29BB">
        <w:rPr>
          <w:rFonts w:ascii="Source Sans Pro" w:hAnsi="Source Sans Pro"/>
        </w:rPr>
        <w:t>.</w:t>
      </w:r>
      <w:r w:rsidRPr="00CF29BB">
        <w:rPr>
          <w:rFonts w:ascii="Source Sans Pro" w:hAnsi="Source Sans Pro"/>
        </w:rPr>
        <w:t xml:space="preserve"> </w:t>
      </w:r>
    </w:p>
    <w:p w14:paraId="294EE57C" w14:textId="77777777" w:rsidR="00FF33B0" w:rsidRPr="00CF29BB" w:rsidRDefault="00284283" w:rsidP="00284283">
      <w:pPr>
        <w:pStyle w:val="Heading2"/>
      </w:pPr>
      <w:bookmarkStart w:id="62" w:name="_Toc518053168"/>
      <w:r w:rsidRPr="00CF29BB">
        <w:t xml:space="preserve"> </w:t>
      </w:r>
      <w:r w:rsidR="00FF33B0" w:rsidRPr="00CF29BB">
        <w:t>How will stabilization be defined in future years?</w:t>
      </w:r>
      <w:bookmarkEnd w:id="62"/>
      <w:r w:rsidR="00FF33B0" w:rsidRPr="00CF29BB">
        <w:t xml:space="preserve"> </w:t>
      </w:r>
    </w:p>
    <w:p w14:paraId="52C67E8B" w14:textId="77777777" w:rsidR="00FF33B0" w:rsidRPr="0065705E" w:rsidRDefault="00FF33B0" w:rsidP="00FF33B0">
      <w:pPr>
        <w:ind w:left="499" w:right="0"/>
        <w:rPr>
          <w:rStyle w:val="Heading2Char"/>
          <w:rFonts w:cstheme="minorHAnsi"/>
          <w:sz w:val="22"/>
          <w:szCs w:val="22"/>
        </w:rPr>
      </w:pPr>
      <w:r w:rsidRPr="0065705E">
        <w:rPr>
          <w:rStyle w:val="Heading2Char"/>
          <w:rFonts w:cstheme="minorHAnsi"/>
          <w:sz w:val="22"/>
          <w:szCs w:val="22"/>
        </w:rPr>
        <w:t xml:space="preserve">Starting in </w:t>
      </w:r>
      <w:r w:rsidR="000220FE" w:rsidRPr="0065705E">
        <w:rPr>
          <w:rStyle w:val="Heading2Char"/>
          <w:rFonts w:cstheme="minorHAnsi"/>
          <w:sz w:val="22"/>
          <w:szCs w:val="22"/>
        </w:rPr>
        <w:t>20</w:t>
      </w:r>
      <w:r w:rsidR="00B14BC8" w:rsidRPr="0065705E">
        <w:rPr>
          <w:rStyle w:val="Heading2Char"/>
          <w:rFonts w:cstheme="minorHAnsi"/>
          <w:sz w:val="22"/>
          <w:szCs w:val="22"/>
        </w:rPr>
        <w:t>19</w:t>
      </w:r>
      <w:r w:rsidR="000220FE" w:rsidRPr="0065705E">
        <w:rPr>
          <w:rStyle w:val="Heading2Char"/>
          <w:rFonts w:cstheme="minorHAnsi"/>
          <w:sz w:val="22"/>
          <w:szCs w:val="22"/>
        </w:rPr>
        <w:t>-</w:t>
      </w:r>
      <w:r w:rsidR="00B14BC8" w:rsidRPr="0065705E">
        <w:rPr>
          <w:rStyle w:val="Heading2Char"/>
          <w:rFonts w:cstheme="minorHAnsi"/>
          <w:sz w:val="22"/>
          <w:szCs w:val="22"/>
        </w:rPr>
        <w:t>20</w:t>
      </w:r>
      <w:r w:rsidRPr="0065705E">
        <w:rPr>
          <w:rStyle w:val="Heading2Char"/>
          <w:rFonts w:cstheme="minorHAnsi"/>
          <w:sz w:val="22"/>
          <w:szCs w:val="22"/>
        </w:rPr>
        <w:t>, if a district’s T</w:t>
      </w:r>
      <w:r w:rsidR="00C249C7" w:rsidRPr="0065705E">
        <w:rPr>
          <w:rStyle w:val="Heading2Char"/>
          <w:rFonts w:cstheme="minorHAnsi"/>
          <w:sz w:val="22"/>
          <w:szCs w:val="22"/>
        </w:rPr>
        <w:t>otal Computational Revenue (T</w:t>
      </w:r>
      <w:r w:rsidRPr="0065705E">
        <w:rPr>
          <w:rStyle w:val="Heading2Char"/>
          <w:rFonts w:cstheme="minorHAnsi"/>
          <w:sz w:val="22"/>
          <w:szCs w:val="22"/>
        </w:rPr>
        <w:t>CR</w:t>
      </w:r>
      <w:r w:rsidR="00C249C7" w:rsidRPr="0065705E">
        <w:rPr>
          <w:rStyle w:val="Heading2Char"/>
          <w:rFonts w:cstheme="minorHAnsi"/>
          <w:sz w:val="22"/>
          <w:szCs w:val="22"/>
        </w:rPr>
        <w:t>)</w:t>
      </w:r>
      <w:r w:rsidRPr="0065705E">
        <w:rPr>
          <w:rStyle w:val="Heading2Char"/>
          <w:rFonts w:cstheme="minorHAnsi"/>
          <w:sz w:val="22"/>
          <w:szCs w:val="22"/>
        </w:rPr>
        <w:t xml:space="preserve"> </w:t>
      </w:r>
      <w:r w:rsidR="00B14BC8" w:rsidRPr="0065705E">
        <w:rPr>
          <w:rStyle w:val="Heading2Char"/>
          <w:rFonts w:cstheme="minorHAnsi"/>
          <w:sz w:val="22"/>
          <w:szCs w:val="22"/>
        </w:rPr>
        <w:t xml:space="preserve">is computed using the provisions of the new funding formula and that TCR </w:t>
      </w:r>
      <w:r w:rsidRPr="0065705E">
        <w:rPr>
          <w:rStyle w:val="Heading2Char"/>
          <w:rFonts w:cstheme="minorHAnsi"/>
          <w:sz w:val="22"/>
          <w:szCs w:val="22"/>
        </w:rPr>
        <w:t xml:space="preserve">declines in the current year compared to its TCR in the prior year, the district receives the prior year TCR revenue.  </w:t>
      </w:r>
      <w:r w:rsidR="009435DD" w:rsidRPr="0065705E">
        <w:rPr>
          <w:rStyle w:val="Heading2Char"/>
          <w:rFonts w:cstheme="minorHAnsi"/>
          <w:sz w:val="22"/>
          <w:szCs w:val="22"/>
        </w:rPr>
        <w:t xml:space="preserve">Below is </w:t>
      </w:r>
      <w:r w:rsidRPr="0065705E">
        <w:rPr>
          <w:rStyle w:val="Heading2Char"/>
          <w:rFonts w:cstheme="minorHAnsi"/>
          <w:sz w:val="22"/>
          <w:szCs w:val="22"/>
        </w:rPr>
        <w:t>an example of how this would work</w:t>
      </w:r>
      <w:r w:rsidR="004C6503" w:rsidRPr="0065705E">
        <w:rPr>
          <w:rStyle w:val="Heading2Char"/>
          <w:rFonts w:cstheme="minorHAnsi"/>
          <w:sz w:val="22"/>
          <w:szCs w:val="22"/>
        </w:rPr>
        <w:t>.</w:t>
      </w:r>
      <w:r w:rsidR="0019516A" w:rsidRPr="0065705E">
        <w:rPr>
          <w:rStyle w:val="Heading2Char"/>
          <w:rFonts w:cstheme="minorHAnsi"/>
          <w:sz w:val="22"/>
          <w:szCs w:val="22"/>
        </w:rPr>
        <w:t xml:space="preserve"> (Also, see hold harmless chart, line 4, in Section J</w:t>
      </w:r>
      <w:r w:rsidR="004C6503" w:rsidRPr="0065705E">
        <w:rPr>
          <w:rStyle w:val="Heading2Char"/>
          <w:rFonts w:cstheme="minorHAnsi"/>
          <w:sz w:val="22"/>
          <w:szCs w:val="22"/>
        </w:rPr>
        <w:t>.</w:t>
      </w:r>
      <w:r w:rsidR="0019516A" w:rsidRPr="0065705E">
        <w:rPr>
          <w:rStyle w:val="Heading2Char"/>
          <w:rFonts w:cstheme="minorHAnsi"/>
          <w:sz w:val="22"/>
          <w:szCs w:val="22"/>
        </w:rPr>
        <w:t>)</w:t>
      </w:r>
    </w:p>
    <w:p w14:paraId="23F172B0" w14:textId="77777777" w:rsidR="00FF33B0" w:rsidRPr="00CF29BB" w:rsidRDefault="00FF33B0" w:rsidP="00FF33B0">
      <w:pPr>
        <w:rPr>
          <w:rFonts w:ascii="Source Sans Pro" w:hAnsi="Source Sans Pro"/>
          <w:b/>
          <w:i/>
        </w:rPr>
      </w:pPr>
      <w:r w:rsidRPr="00CF29BB">
        <w:rPr>
          <w:rFonts w:ascii="Source Sans Pro" w:hAnsi="Source Sans Pro"/>
          <w:b/>
          <w:i/>
        </w:rPr>
        <w:t xml:space="preserve">Example of how this would work in </w:t>
      </w:r>
      <w:r w:rsidR="000220FE">
        <w:rPr>
          <w:rFonts w:ascii="Source Sans Pro" w:hAnsi="Source Sans Pro"/>
          <w:b/>
          <w:i/>
        </w:rPr>
        <w:t>20</w:t>
      </w:r>
      <w:r w:rsidR="00B14BC8">
        <w:rPr>
          <w:rFonts w:ascii="Source Sans Pro" w:hAnsi="Source Sans Pro"/>
          <w:b/>
          <w:i/>
        </w:rPr>
        <w:t>1</w:t>
      </w:r>
      <w:r w:rsidR="005C6037">
        <w:rPr>
          <w:rFonts w:ascii="Source Sans Pro" w:hAnsi="Source Sans Pro"/>
          <w:b/>
          <w:i/>
        </w:rPr>
        <w:t>9</w:t>
      </w:r>
      <w:r w:rsidR="00B14BC8">
        <w:rPr>
          <w:rFonts w:ascii="Source Sans Pro" w:hAnsi="Source Sans Pro"/>
          <w:b/>
          <w:i/>
        </w:rPr>
        <w:t>-20</w:t>
      </w:r>
      <w:r w:rsidRPr="00CF29BB">
        <w:rPr>
          <w:rFonts w:ascii="Source Sans Pro" w:hAnsi="Source Sans Pro"/>
          <w:b/>
          <w:i/>
        </w:rPr>
        <w:t>:</w:t>
      </w:r>
    </w:p>
    <w:p w14:paraId="00C99BC3" w14:textId="77777777" w:rsidR="00FF33B0" w:rsidRPr="00CF29BB" w:rsidRDefault="00FF33B0" w:rsidP="00FF33B0">
      <w:pPr>
        <w:rPr>
          <w:rFonts w:ascii="Source Sans Pro" w:hAnsi="Source Sans Pro"/>
        </w:rPr>
      </w:pPr>
      <w:r w:rsidRPr="00CF29BB">
        <w:rPr>
          <w:rFonts w:ascii="Source Sans Pro" w:hAnsi="Source Sans Pro"/>
        </w:rPr>
        <w:t xml:space="preserve">District A’s </w:t>
      </w:r>
      <w:r w:rsidR="00B14BC8">
        <w:rPr>
          <w:rFonts w:ascii="Source Sans Pro" w:hAnsi="Source Sans Pro"/>
        </w:rPr>
        <w:t xml:space="preserve">2019-20 </w:t>
      </w:r>
      <w:r w:rsidRPr="00CF29BB">
        <w:rPr>
          <w:rFonts w:ascii="Source Sans Pro" w:hAnsi="Source Sans Pro"/>
        </w:rPr>
        <w:t xml:space="preserve">TCR: </w:t>
      </w:r>
      <w:r w:rsidR="00005CF3" w:rsidRPr="00CF29BB">
        <w:rPr>
          <w:rFonts w:ascii="Source Sans Pro" w:hAnsi="Source Sans Pro"/>
        </w:rPr>
        <w:t>SCFF</w:t>
      </w:r>
      <w:r w:rsidRPr="00CF29BB">
        <w:rPr>
          <w:rFonts w:ascii="Source Sans Pro" w:hAnsi="Source Sans Pro"/>
        </w:rPr>
        <w:t xml:space="preserve"> </w:t>
      </w:r>
      <w:r w:rsidRPr="00CF29BB">
        <w:rPr>
          <w:rFonts w:ascii="Source Sans Pro" w:hAnsi="Source Sans Pro"/>
        </w:rPr>
        <w:tab/>
      </w:r>
      <w:r w:rsidRPr="00CF29BB">
        <w:rPr>
          <w:rFonts w:ascii="Source Sans Pro" w:hAnsi="Source Sans Pro"/>
        </w:rPr>
        <w:tab/>
      </w:r>
      <w:r w:rsidR="00B81A57" w:rsidRPr="00CF29BB">
        <w:rPr>
          <w:rFonts w:ascii="Source Sans Pro" w:hAnsi="Source Sans Pro"/>
        </w:rPr>
        <w:tab/>
      </w:r>
      <w:r w:rsidR="00790775">
        <w:rPr>
          <w:rFonts w:ascii="Source Sans Pro" w:hAnsi="Source Sans Pro"/>
        </w:rPr>
        <w:tab/>
      </w:r>
      <w:r w:rsidRPr="00CF29BB">
        <w:rPr>
          <w:rFonts w:ascii="Source Sans Pro" w:hAnsi="Source Sans Pro"/>
        </w:rPr>
        <w:t>=</w:t>
      </w:r>
      <w:r w:rsidRPr="00CF29BB">
        <w:rPr>
          <w:rFonts w:ascii="Source Sans Pro" w:hAnsi="Source Sans Pro"/>
        </w:rPr>
        <w:tab/>
        <w:t>$46 million</w:t>
      </w:r>
    </w:p>
    <w:p w14:paraId="516948CD" w14:textId="77777777" w:rsidR="00FF33B0" w:rsidRPr="00CF29BB" w:rsidRDefault="00FF33B0" w:rsidP="00FF33B0">
      <w:pPr>
        <w:rPr>
          <w:rFonts w:ascii="Source Sans Pro" w:hAnsi="Source Sans Pro"/>
        </w:rPr>
      </w:pPr>
      <w:r w:rsidRPr="00CF29BB">
        <w:rPr>
          <w:rFonts w:ascii="Source Sans Pro" w:hAnsi="Source Sans Pro"/>
        </w:rPr>
        <w:t xml:space="preserve">District A’s </w:t>
      </w:r>
      <w:r w:rsidR="00B14BC8">
        <w:rPr>
          <w:rFonts w:ascii="Source Sans Pro" w:hAnsi="Source Sans Pro"/>
        </w:rPr>
        <w:t xml:space="preserve">2018-19 </w:t>
      </w:r>
      <w:r w:rsidRPr="00CF29BB">
        <w:rPr>
          <w:rFonts w:ascii="Source Sans Pro" w:hAnsi="Source Sans Pro"/>
        </w:rPr>
        <w:t xml:space="preserve">TCR: </w:t>
      </w:r>
      <w:r w:rsidR="00005CF3" w:rsidRPr="00CF29BB">
        <w:rPr>
          <w:rFonts w:ascii="Source Sans Pro" w:hAnsi="Source Sans Pro"/>
        </w:rPr>
        <w:t>SCFF</w:t>
      </w:r>
      <w:r w:rsidRPr="00CF29BB">
        <w:rPr>
          <w:rFonts w:ascii="Source Sans Pro" w:hAnsi="Source Sans Pro"/>
        </w:rPr>
        <w:tab/>
        <w:t xml:space="preserve"> </w:t>
      </w:r>
      <w:r w:rsidRPr="00CF29BB">
        <w:rPr>
          <w:rFonts w:ascii="Source Sans Pro" w:hAnsi="Source Sans Pro"/>
        </w:rPr>
        <w:tab/>
      </w:r>
      <w:r w:rsidR="00B81A57" w:rsidRPr="00CF29BB">
        <w:rPr>
          <w:rFonts w:ascii="Source Sans Pro" w:hAnsi="Source Sans Pro"/>
        </w:rPr>
        <w:tab/>
      </w:r>
      <w:r w:rsidR="004C6503">
        <w:rPr>
          <w:rFonts w:ascii="Source Sans Pro" w:hAnsi="Source Sans Pro"/>
        </w:rPr>
        <w:tab/>
      </w:r>
      <w:r w:rsidRPr="00CF29BB">
        <w:rPr>
          <w:rFonts w:ascii="Source Sans Pro" w:hAnsi="Source Sans Pro"/>
        </w:rPr>
        <w:t xml:space="preserve">=  </w:t>
      </w:r>
      <w:r w:rsidRPr="00CF29BB">
        <w:rPr>
          <w:rFonts w:ascii="Source Sans Pro" w:hAnsi="Source Sans Pro"/>
        </w:rPr>
        <w:tab/>
        <w:t>$47 million</w:t>
      </w:r>
    </w:p>
    <w:p w14:paraId="4F1ACCD2" w14:textId="77777777" w:rsidR="00FF33B0" w:rsidRPr="00CF29BB" w:rsidRDefault="00FF33B0" w:rsidP="00FF33B0">
      <w:pPr>
        <w:rPr>
          <w:rFonts w:ascii="Source Sans Pro" w:hAnsi="Source Sans Pro"/>
        </w:rPr>
      </w:pPr>
      <w:r w:rsidRPr="00CF29BB">
        <w:rPr>
          <w:rFonts w:ascii="Source Sans Pro" w:hAnsi="Source Sans Pro"/>
        </w:rPr>
        <w:t xml:space="preserve">District A’s Funding </w:t>
      </w:r>
      <w:r w:rsidRPr="00CF29BB">
        <w:rPr>
          <w:rFonts w:ascii="Source Sans Pro" w:hAnsi="Source Sans Pro"/>
        </w:rPr>
        <w:tab/>
      </w:r>
      <w:r w:rsidRPr="00CF29BB">
        <w:rPr>
          <w:rFonts w:ascii="Source Sans Pro" w:hAnsi="Source Sans Pro"/>
        </w:rPr>
        <w:tab/>
      </w:r>
      <w:r w:rsidRPr="00CF29BB">
        <w:rPr>
          <w:rFonts w:ascii="Source Sans Pro" w:hAnsi="Source Sans Pro"/>
        </w:rPr>
        <w:tab/>
      </w:r>
      <w:r w:rsidR="00B81A57" w:rsidRPr="00CF29BB">
        <w:rPr>
          <w:rFonts w:ascii="Source Sans Pro" w:hAnsi="Source Sans Pro"/>
        </w:rPr>
        <w:tab/>
      </w:r>
      <w:r w:rsidR="00790775">
        <w:rPr>
          <w:rFonts w:ascii="Source Sans Pro" w:hAnsi="Source Sans Pro"/>
        </w:rPr>
        <w:tab/>
      </w:r>
      <w:r w:rsidRPr="00CF29BB">
        <w:rPr>
          <w:rFonts w:ascii="Source Sans Pro" w:hAnsi="Source Sans Pro"/>
        </w:rPr>
        <w:t>=</w:t>
      </w:r>
      <w:r w:rsidRPr="00CF29BB">
        <w:rPr>
          <w:rFonts w:ascii="Source Sans Pro" w:hAnsi="Source Sans Pro"/>
        </w:rPr>
        <w:tab/>
        <w:t>$47 million</w:t>
      </w:r>
    </w:p>
    <w:p w14:paraId="52306C41" w14:textId="77777777" w:rsidR="0040658D" w:rsidRPr="00CF29BB" w:rsidRDefault="0040658D" w:rsidP="0040658D">
      <w:pPr>
        <w:pStyle w:val="Heading2"/>
      </w:pPr>
      <w:bookmarkStart w:id="63" w:name="_Toc518053175"/>
      <w:bookmarkStart w:id="64" w:name="_Toc518053169"/>
      <w:r w:rsidRPr="00CF29BB">
        <w:t>For a district in stability, will the hold harmless funding level be based on actual or funded FTES?</w:t>
      </w:r>
      <w:bookmarkEnd w:id="63"/>
    </w:p>
    <w:p w14:paraId="26B5DCE5" w14:textId="77777777" w:rsidR="0040658D" w:rsidRPr="00CF29BB" w:rsidRDefault="0040658D" w:rsidP="0040658D">
      <w:pPr>
        <w:pStyle w:val="NoSpacing"/>
        <w:spacing w:after="248"/>
        <w:rPr>
          <w:rFonts w:ascii="Source Sans Pro" w:hAnsi="Source Sans Pro"/>
        </w:rPr>
      </w:pPr>
      <w:r w:rsidRPr="00CF29BB">
        <w:rPr>
          <w:rFonts w:ascii="Source Sans Pro" w:hAnsi="Source Sans Pro"/>
        </w:rPr>
        <w:t xml:space="preserve">It will be based on the district’s total TCR for </w:t>
      </w:r>
      <w:r w:rsidR="000220FE">
        <w:rPr>
          <w:rFonts w:ascii="Source Sans Pro" w:hAnsi="Source Sans Pro"/>
        </w:rPr>
        <w:t>2017-18</w:t>
      </w:r>
      <w:r w:rsidRPr="00CF29BB">
        <w:rPr>
          <w:rFonts w:ascii="Source Sans Pro" w:hAnsi="Source Sans Pro"/>
        </w:rPr>
        <w:t xml:space="preserve">, which includes stability funding.  </w:t>
      </w:r>
    </w:p>
    <w:p w14:paraId="29E80A85" w14:textId="77777777" w:rsidR="00FF33B0" w:rsidRPr="00CF29BB" w:rsidRDefault="0040658D" w:rsidP="006E522B">
      <w:pPr>
        <w:pStyle w:val="Heading2"/>
      </w:pPr>
      <w:r w:rsidRPr="00CF29BB">
        <w:t xml:space="preserve"> </w:t>
      </w:r>
      <w:r w:rsidR="00FF33B0" w:rsidRPr="00CF29BB">
        <w:t>What happens with restoration?</w:t>
      </w:r>
      <w:bookmarkEnd w:id="64"/>
      <w:r w:rsidR="00FF33B0" w:rsidRPr="00CF29BB">
        <w:t xml:space="preserve"> </w:t>
      </w:r>
    </w:p>
    <w:p w14:paraId="45E8552D" w14:textId="77777777" w:rsidR="00FF33B0" w:rsidRPr="00CF29BB" w:rsidRDefault="00FF33B0" w:rsidP="006E522B">
      <w:pPr>
        <w:rPr>
          <w:rStyle w:val="Heading2Char"/>
          <w:rFonts w:cstheme="minorHAnsi"/>
          <w:sz w:val="22"/>
          <w:szCs w:val="22"/>
        </w:rPr>
      </w:pPr>
      <w:r w:rsidRPr="00CF29BB">
        <w:rPr>
          <w:rStyle w:val="Heading2Char"/>
        </w:rPr>
        <w:tab/>
      </w:r>
      <w:r w:rsidRPr="00CF29BB">
        <w:rPr>
          <w:rStyle w:val="Heading2Char"/>
          <w:rFonts w:cstheme="minorHAnsi"/>
          <w:sz w:val="22"/>
          <w:szCs w:val="22"/>
        </w:rPr>
        <w:t>Declines in FTES workload measures</w:t>
      </w:r>
      <w:r w:rsidR="00005CF3" w:rsidRPr="00CF29BB">
        <w:rPr>
          <w:rStyle w:val="Heading2Char"/>
          <w:rFonts w:cstheme="minorHAnsi"/>
          <w:sz w:val="22"/>
          <w:szCs w:val="22"/>
        </w:rPr>
        <w:t xml:space="preserve"> from prior years will still be eligible for restoration over the subsequent three-year period.</w:t>
      </w:r>
      <w:r w:rsidRPr="00CF29BB">
        <w:rPr>
          <w:rStyle w:val="Heading2Char"/>
          <w:rFonts w:cstheme="minorHAnsi"/>
          <w:sz w:val="22"/>
          <w:szCs w:val="22"/>
        </w:rPr>
        <w:t xml:space="preserve"> </w:t>
      </w:r>
    </w:p>
    <w:p w14:paraId="7D187669" w14:textId="77777777" w:rsidR="006E522B" w:rsidRPr="00CF29BB" w:rsidRDefault="006E522B" w:rsidP="006E522B">
      <w:pPr>
        <w:pStyle w:val="Heading2"/>
        <w:rPr>
          <w:rStyle w:val="Heading2Char"/>
        </w:rPr>
      </w:pPr>
      <w:bookmarkStart w:id="65" w:name="_Toc518053178"/>
      <w:r w:rsidRPr="00CF29BB">
        <w:rPr>
          <w:rStyle w:val="Heading2Char"/>
        </w:rPr>
        <w:t>What is going to happen to the FON calculation, given the new apportionment given to the Base</w:t>
      </w:r>
      <w:bookmarkEnd w:id="65"/>
      <w:r w:rsidRPr="00CF29BB">
        <w:rPr>
          <w:sz w:val="24"/>
        </w:rPr>
        <w:t xml:space="preserve"> </w:t>
      </w:r>
      <w:r w:rsidRPr="00CF29BB">
        <w:rPr>
          <w:rStyle w:val="Heading2Char"/>
        </w:rPr>
        <w:t xml:space="preserve">Allocation? </w:t>
      </w:r>
    </w:p>
    <w:p w14:paraId="2E839CE5" w14:textId="77777777" w:rsidR="006E522B" w:rsidRPr="00CF29BB" w:rsidRDefault="00037500" w:rsidP="006E522B">
      <w:pPr>
        <w:ind w:left="499" w:right="0"/>
        <w:rPr>
          <w:rFonts w:ascii="Source Sans Pro" w:hAnsi="Source Sans Pro"/>
        </w:rPr>
      </w:pPr>
      <w:r>
        <w:rPr>
          <w:rFonts w:ascii="Source Sans Pro" w:hAnsi="Source Sans Pro"/>
        </w:rPr>
        <w:t>The regulations related to the FON have not changed. The Chancellor has asked an Advisory Workgroup on Regulations to convene to make recommendations.</w:t>
      </w:r>
    </w:p>
    <w:p w14:paraId="0A26D5AF" w14:textId="77777777" w:rsidR="0040658D" w:rsidRPr="00CF29BB" w:rsidRDefault="0040658D" w:rsidP="00CF29BB">
      <w:pPr>
        <w:pStyle w:val="Heading2"/>
      </w:pPr>
      <w:r w:rsidRPr="00CF29BB">
        <w:t>Is it possible under the SCFF for there to be leftover systemwide funds? If so, what would happen to unused funding?</w:t>
      </w:r>
    </w:p>
    <w:p w14:paraId="0EE061E9" w14:textId="77777777" w:rsidR="0040658D" w:rsidRPr="00CF29BB" w:rsidRDefault="00037500" w:rsidP="0040658D">
      <w:pPr>
        <w:rPr>
          <w:rFonts w:ascii="Source Sans Pro" w:hAnsi="Source Sans Pro"/>
        </w:rPr>
      </w:pPr>
      <w:r>
        <w:rPr>
          <w:rFonts w:ascii="Source Sans Pro" w:hAnsi="Source Sans Pro"/>
        </w:rPr>
        <w:t>The uses of any available resources are subject to use determined by the Governor and legislature.</w:t>
      </w:r>
    </w:p>
    <w:p w14:paraId="5118D81F" w14:textId="77777777" w:rsidR="00762995" w:rsidRDefault="00762995" w:rsidP="00005CF3">
      <w:pPr>
        <w:pStyle w:val="Heading1"/>
        <w:ind w:left="0" w:hanging="450"/>
        <w:rPr>
          <w:rFonts w:ascii="Source Sans Pro" w:hAnsi="Source Sans Pro"/>
          <w:color w:val="002F6D"/>
        </w:rPr>
      </w:pPr>
      <w:bookmarkStart w:id="66" w:name="_Toc536798200"/>
      <w:r w:rsidRPr="00CF29BB">
        <w:rPr>
          <w:rFonts w:ascii="Source Sans Pro" w:hAnsi="Source Sans Pro"/>
          <w:color w:val="002F6D"/>
        </w:rPr>
        <w:t>Hold Harmless</w:t>
      </w:r>
      <w:bookmarkEnd w:id="66"/>
    </w:p>
    <w:p w14:paraId="41280B1B" w14:textId="77777777" w:rsidR="004F3395" w:rsidRPr="0065705E" w:rsidRDefault="0065705E" w:rsidP="004F3395">
      <w:pPr>
        <w:rPr>
          <w:rFonts w:ascii="Source Sans Pro" w:hAnsi="Source Sans Pro"/>
        </w:rPr>
      </w:pPr>
      <w:r>
        <w:rPr>
          <w:rFonts w:ascii="Source Sans Pro" w:hAnsi="Source Sans Pro"/>
        </w:rPr>
        <w:t>The chart below</w:t>
      </w:r>
      <w:r w:rsidRPr="0065705E">
        <w:rPr>
          <w:rFonts w:ascii="Source Sans Pro" w:hAnsi="Source Sans Pro"/>
        </w:rPr>
        <w:t xml:space="preserve"> </w:t>
      </w:r>
      <w:r>
        <w:rPr>
          <w:rFonts w:ascii="Source Sans Pro" w:hAnsi="Source Sans Pro"/>
        </w:rPr>
        <w:t>was created to summarize the hold harmless provisions.</w:t>
      </w:r>
    </w:p>
    <w:p w14:paraId="383EEF97" w14:textId="77777777" w:rsidR="00E258FA" w:rsidRDefault="00E258FA" w:rsidP="00E258FA">
      <w:pPr>
        <w:pStyle w:val="Heading2"/>
        <w:numPr>
          <w:ilvl w:val="0"/>
          <w:numId w:val="0"/>
        </w:numPr>
        <w:spacing w:after="125" w:line="270" w:lineRule="auto"/>
        <w:ind w:left="432" w:hanging="432"/>
        <w:rPr>
          <w:rStyle w:val="Heading2Char"/>
        </w:rPr>
      </w:pPr>
      <w:r w:rsidRPr="00E258FA">
        <w:rPr>
          <w:rStyle w:val="Heading2Char"/>
          <w:noProof/>
        </w:rPr>
        <w:lastRenderedPageBreak/>
        <w:drawing>
          <wp:inline distT="0" distB="0" distL="0" distR="0" wp14:anchorId="38ADD916" wp14:editId="006E0480">
            <wp:extent cx="6267450" cy="3205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7450" cy="3205480"/>
                    </a:xfrm>
                    <a:prstGeom prst="rect">
                      <a:avLst/>
                    </a:prstGeom>
                    <a:noFill/>
                    <a:ln>
                      <a:noFill/>
                    </a:ln>
                  </pic:spPr>
                </pic:pic>
              </a:graphicData>
            </a:graphic>
          </wp:inline>
        </w:drawing>
      </w:r>
    </w:p>
    <w:p w14:paraId="617A3318" w14:textId="77777777" w:rsidR="007A61BE" w:rsidRPr="00CF29BB" w:rsidRDefault="007A61BE" w:rsidP="007A61BE">
      <w:pPr>
        <w:pStyle w:val="Heading2"/>
        <w:spacing w:after="125" w:line="270" w:lineRule="auto"/>
        <w:ind w:left="465" w:hanging="465"/>
        <w:rPr>
          <w:rStyle w:val="Heading2Char"/>
        </w:rPr>
      </w:pPr>
      <w:r w:rsidRPr="00CF29BB">
        <w:rPr>
          <w:rStyle w:val="Heading2Char"/>
        </w:rPr>
        <w:t>How many years will my district be held harmless if its funding is reduced because of the</w:t>
      </w:r>
      <w:r w:rsidR="00B81A57" w:rsidRPr="00CF29BB">
        <w:rPr>
          <w:rStyle w:val="Heading2Char"/>
        </w:rPr>
        <w:t xml:space="preserve"> </w:t>
      </w:r>
      <w:r w:rsidR="00635F13" w:rsidRPr="00CF29BB">
        <w:rPr>
          <w:rStyle w:val="Heading2Char"/>
        </w:rPr>
        <w:t>SCFF</w:t>
      </w:r>
      <w:bookmarkEnd w:id="57"/>
      <w:r w:rsidRPr="00CF29BB">
        <w:rPr>
          <w:rStyle w:val="Heading2Char"/>
        </w:rPr>
        <w:t xml:space="preserve">? </w:t>
      </w:r>
    </w:p>
    <w:p w14:paraId="28070540" w14:textId="77777777" w:rsidR="007A61BE" w:rsidRPr="00CF29BB" w:rsidRDefault="004F3395" w:rsidP="007A61BE">
      <w:pPr>
        <w:ind w:right="0"/>
        <w:rPr>
          <w:rFonts w:ascii="Source Sans Pro" w:hAnsi="Source Sans Pro"/>
        </w:rPr>
      </w:pPr>
      <w:r>
        <w:rPr>
          <w:rFonts w:ascii="Source Sans Pro" w:hAnsi="Source Sans Pro"/>
        </w:rPr>
        <w:t>S</w:t>
      </w:r>
      <w:r w:rsidR="00037500">
        <w:rPr>
          <w:rFonts w:ascii="Source Sans Pro" w:hAnsi="Source Sans Pro"/>
        </w:rPr>
        <w:t>ee chart above.</w:t>
      </w:r>
      <w:r w:rsidR="009D32F3">
        <w:rPr>
          <w:rFonts w:ascii="Source Sans Pro" w:hAnsi="Source Sans Pro"/>
        </w:rPr>
        <w:t xml:space="preserve"> </w:t>
      </w:r>
    </w:p>
    <w:p w14:paraId="30612073" w14:textId="77777777" w:rsidR="007A61BE" w:rsidRPr="00CF29BB" w:rsidRDefault="007A61BE" w:rsidP="00A546C3">
      <w:pPr>
        <w:pStyle w:val="Heading2"/>
        <w:rPr>
          <w:rStyle w:val="Heading2Char"/>
        </w:rPr>
      </w:pPr>
      <w:bookmarkStart w:id="67" w:name="_Toc518053160"/>
      <w:r w:rsidRPr="00CF29BB">
        <w:rPr>
          <w:rStyle w:val="Heading2Char"/>
        </w:rPr>
        <w:t xml:space="preserve">Will my district be held harmless beyond </w:t>
      </w:r>
      <w:r w:rsidR="00C03371" w:rsidRPr="00CF29BB">
        <w:rPr>
          <w:rStyle w:val="Heading2Char"/>
        </w:rPr>
        <w:t>three</w:t>
      </w:r>
      <w:r w:rsidRPr="00CF29BB">
        <w:rPr>
          <w:rStyle w:val="Heading2Char"/>
        </w:rPr>
        <w:t xml:space="preserve"> years if its enrollment or outcomes drop after the</w:t>
      </w:r>
      <w:bookmarkEnd w:id="67"/>
      <w:r w:rsidRPr="00CF29BB">
        <w:rPr>
          <w:sz w:val="24"/>
        </w:rPr>
        <w:t xml:space="preserve"> </w:t>
      </w:r>
      <w:r w:rsidRPr="00CF29BB">
        <w:rPr>
          <w:rStyle w:val="Heading2Char"/>
        </w:rPr>
        <w:t xml:space="preserve">formula is adopted?  </w:t>
      </w:r>
    </w:p>
    <w:p w14:paraId="19269819" w14:textId="77777777" w:rsidR="00023975" w:rsidRDefault="004F3395" w:rsidP="009435DD">
      <w:r>
        <w:t>S</w:t>
      </w:r>
      <w:r w:rsidR="00037500">
        <w:t>ee chart above.</w:t>
      </w:r>
      <w:bookmarkStart w:id="68" w:name="_Hlk534706379"/>
    </w:p>
    <w:p w14:paraId="78A5B306" w14:textId="77777777" w:rsidR="00762995" w:rsidRPr="00CF29BB" w:rsidRDefault="00762995" w:rsidP="00762995">
      <w:pPr>
        <w:pStyle w:val="Heading2"/>
      </w:pPr>
      <w:r w:rsidRPr="00CF29BB">
        <w:t xml:space="preserve">How many community college districts are expected to need hold harmless funds during the next </w:t>
      </w:r>
      <w:r w:rsidR="00C03371" w:rsidRPr="00CF29BB">
        <w:t>three</w:t>
      </w:r>
      <w:r w:rsidRPr="00CF29BB">
        <w:t xml:space="preserve"> years?  </w:t>
      </w:r>
    </w:p>
    <w:p w14:paraId="07D1D303" w14:textId="77777777" w:rsidR="00A546C3" w:rsidRPr="00CF29BB" w:rsidRDefault="00A14A9E" w:rsidP="00762995">
      <w:pPr>
        <w:rPr>
          <w:rFonts w:ascii="Source Sans Pro" w:hAnsi="Source Sans Pro"/>
        </w:rPr>
      </w:pPr>
      <w:bookmarkStart w:id="69" w:name="_Hlk534706393"/>
      <w:bookmarkEnd w:id="68"/>
      <w:r>
        <w:rPr>
          <w:rFonts w:ascii="Source Sans Pro" w:hAnsi="Source Sans Pro"/>
        </w:rPr>
        <w:t xml:space="preserve">At the 2018-19 July simulation, </w:t>
      </w:r>
      <w:r w:rsidR="00A546C3" w:rsidRPr="00CF29BB">
        <w:rPr>
          <w:rFonts w:ascii="Source Sans Pro" w:hAnsi="Source Sans Pro"/>
        </w:rPr>
        <w:t>22 districts were held harmless</w:t>
      </w:r>
      <w:r w:rsidR="00C03371" w:rsidRPr="00CF29BB">
        <w:rPr>
          <w:rFonts w:ascii="Source Sans Pro" w:hAnsi="Source Sans Pro"/>
        </w:rPr>
        <w:t xml:space="preserve">. </w:t>
      </w:r>
    </w:p>
    <w:p w14:paraId="1798C7E0" w14:textId="77777777" w:rsidR="006E522B" w:rsidRPr="00CF29BB" w:rsidRDefault="00762995" w:rsidP="00C03371">
      <w:pPr>
        <w:pStyle w:val="Heading1"/>
        <w:ind w:left="0" w:hanging="450"/>
        <w:rPr>
          <w:rFonts w:ascii="Source Sans Pro" w:hAnsi="Source Sans Pro"/>
          <w:color w:val="002F6D"/>
        </w:rPr>
      </w:pPr>
      <w:bookmarkStart w:id="70" w:name="_Toc536798201"/>
      <w:bookmarkStart w:id="71" w:name="_Toc518053164"/>
      <w:bookmarkEnd w:id="69"/>
      <w:r w:rsidRPr="00CF29BB">
        <w:rPr>
          <w:rFonts w:ascii="Source Sans Pro" w:hAnsi="Source Sans Pro"/>
          <w:color w:val="002F6D"/>
        </w:rPr>
        <w:t>Where to Find Data and Information</w:t>
      </w:r>
      <w:bookmarkEnd w:id="70"/>
    </w:p>
    <w:p w14:paraId="5B388F2D" w14:textId="77777777" w:rsidR="006E522B" w:rsidRPr="00CF29BB" w:rsidRDefault="006E522B" w:rsidP="00762995">
      <w:pPr>
        <w:pStyle w:val="Heading2"/>
      </w:pPr>
      <w:r w:rsidRPr="00CF29BB">
        <w:t xml:space="preserve">Where can I find information and materials about the funding formula? </w:t>
      </w:r>
      <w:bookmarkStart w:id="72" w:name="_Hlk527727328"/>
      <w:r w:rsidR="00EA7095" w:rsidRPr="00CF29BB">
        <w:t>Is there a data element dictionary for the SCFF elements?</w:t>
      </w:r>
      <w:bookmarkEnd w:id="72"/>
    </w:p>
    <w:p w14:paraId="23D99108" w14:textId="77777777" w:rsidR="00EA7095" w:rsidRPr="00CF29BB" w:rsidRDefault="006E522B" w:rsidP="00EA7095">
      <w:pPr>
        <w:spacing w:after="0" w:line="240" w:lineRule="auto"/>
        <w:ind w:left="518" w:right="0" w:hanging="14"/>
        <w:rPr>
          <w:rStyle w:val="Hyperlink"/>
          <w:rFonts w:ascii="Source Sans Pro" w:hAnsi="Source Sans Pro"/>
          <w:i/>
        </w:rPr>
      </w:pPr>
      <w:r w:rsidRPr="00CF29BB">
        <w:rPr>
          <w:rFonts w:ascii="Source Sans Pro" w:hAnsi="Source Sans Pro"/>
        </w:rPr>
        <w:t xml:space="preserve">Information about the </w:t>
      </w:r>
      <w:r w:rsidR="00C03371" w:rsidRPr="00CF29BB">
        <w:rPr>
          <w:rFonts w:ascii="Source Sans Pro" w:hAnsi="Source Sans Pro"/>
        </w:rPr>
        <w:t>SCFF</w:t>
      </w:r>
      <w:r w:rsidRPr="00CF29BB">
        <w:rPr>
          <w:rFonts w:ascii="Source Sans Pro" w:hAnsi="Source Sans Pro"/>
        </w:rPr>
        <w:t xml:space="preserve"> can be found through the Chancellor’s website at: </w:t>
      </w:r>
      <w:hyperlink r:id="rId13" w:history="1">
        <w:r w:rsidRPr="00CF29BB">
          <w:rPr>
            <w:rStyle w:val="Hyperlink"/>
            <w:rFonts w:ascii="Source Sans Pro" w:hAnsi="Source Sans Pro"/>
            <w:i/>
          </w:rPr>
          <w:t>http://extranet.cccco.edu/Divisions/FinanceFacilities/StudentCenteredFundingFormula.aspx</w:t>
        </w:r>
      </w:hyperlink>
      <w:r w:rsidRPr="00CF29BB">
        <w:rPr>
          <w:rStyle w:val="Hyperlink"/>
          <w:rFonts w:ascii="Source Sans Pro" w:hAnsi="Source Sans Pro"/>
          <w:i/>
        </w:rPr>
        <w:t xml:space="preserve"> </w:t>
      </w:r>
    </w:p>
    <w:p w14:paraId="6C9DB805" w14:textId="77777777" w:rsidR="006E522B" w:rsidRPr="00CF29BB" w:rsidRDefault="006E522B" w:rsidP="00EA7095">
      <w:pPr>
        <w:spacing w:after="0" w:line="240" w:lineRule="auto"/>
        <w:ind w:left="518" w:right="0" w:hanging="14"/>
        <w:rPr>
          <w:rFonts w:ascii="Source Sans Pro" w:hAnsi="Source Sans Pro"/>
        </w:rPr>
      </w:pPr>
      <w:r w:rsidRPr="00CF29BB">
        <w:rPr>
          <w:rFonts w:ascii="Source Sans Pro" w:hAnsi="Source Sans Pro"/>
        </w:rPr>
        <w:t>This website contains Excel simulations, statutory language, PowerPoint presentations</w:t>
      </w:r>
      <w:r w:rsidR="00C03371" w:rsidRPr="00CF29BB">
        <w:rPr>
          <w:rFonts w:ascii="Source Sans Pro" w:hAnsi="Source Sans Pro"/>
        </w:rPr>
        <w:t>,</w:t>
      </w:r>
      <w:r w:rsidRPr="00CF29BB">
        <w:rPr>
          <w:rFonts w:ascii="Source Sans Pro" w:hAnsi="Source Sans Pro"/>
        </w:rPr>
        <w:t xml:space="preserve"> and two different FAQs regarding the formula and prior webinars.</w:t>
      </w:r>
      <w:r w:rsidR="00EA7095" w:rsidRPr="00CF29BB">
        <w:rPr>
          <w:rFonts w:ascii="Source Sans Pro" w:hAnsi="Source Sans Pro"/>
        </w:rPr>
        <w:t xml:space="preserve"> Within the Excel simulations</w:t>
      </w:r>
      <w:r w:rsidR="00574172">
        <w:rPr>
          <w:rFonts w:ascii="Source Sans Pro" w:hAnsi="Source Sans Pro"/>
        </w:rPr>
        <w:t>,</w:t>
      </w:r>
      <w:r w:rsidR="00EA7095" w:rsidRPr="00CF29BB">
        <w:rPr>
          <w:rFonts w:ascii="Source Sans Pro" w:hAnsi="Source Sans Pro"/>
        </w:rPr>
        <w:t xml:space="preserve"> there is a tab with a data element dictionary that includes examples.</w:t>
      </w:r>
      <w:r w:rsidR="00037500">
        <w:rPr>
          <w:rFonts w:ascii="Source Sans Pro" w:hAnsi="Source Sans Pro"/>
        </w:rPr>
        <w:t xml:space="preserve"> </w:t>
      </w:r>
      <w:r w:rsidR="009435DD">
        <w:rPr>
          <w:rFonts w:ascii="Source Sans Pro" w:hAnsi="Source Sans Pro"/>
        </w:rPr>
        <w:t>Anyone interested in the SCFF s</w:t>
      </w:r>
      <w:r w:rsidR="00037500">
        <w:rPr>
          <w:rFonts w:ascii="Source Sans Pro" w:hAnsi="Source Sans Pro"/>
        </w:rPr>
        <w:t xml:space="preserve">hould also join the </w:t>
      </w:r>
      <w:r w:rsidR="009435DD">
        <w:rPr>
          <w:rFonts w:ascii="Source Sans Pro" w:hAnsi="Source Sans Pro"/>
        </w:rPr>
        <w:t xml:space="preserve">SCFF </w:t>
      </w:r>
      <w:r w:rsidR="00037500">
        <w:rPr>
          <w:rFonts w:ascii="Source Sans Pro" w:hAnsi="Source Sans Pro"/>
        </w:rPr>
        <w:t>community</w:t>
      </w:r>
      <w:r w:rsidR="009435DD">
        <w:rPr>
          <w:rFonts w:ascii="Source Sans Pro" w:hAnsi="Source Sans Pro"/>
        </w:rPr>
        <w:t xml:space="preserve"> on</w:t>
      </w:r>
      <w:r w:rsidR="00037500">
        <w:rPr>
          <w:rFonts w:ascii="Source Sans Pro" w:hAnsi="Source Sans Pro"/>
        </w:rPr>
        <w:t xml:space="preserve"> the Vision Resource Center.</w:t>
      </w:r>
    </w:p>
    <w:p w14:paraId="79A98908" w14:textId="77777777" w:rsidR="007A61BE" w:rsidRPr="00CF29BB" w:rsidRDefault="007A61BE" w:rsidP="00762995">
      <w:pPr>
        <w:pStyle w:val="Heading2"/>
      </w:pPr>
      <w:r w:rsidRPr="00CF29BB">
        <w:lastRenderedPageBreak/>
        <w:t>How can I find the source for the data used to determine my funding?</w:t>
      </w:r>
      <w:bookmarkEnd w:id="71"/>
      <w:r w:rsidRPr="00CF29BB">
        <w:t xml:space="preserve"> </w:t>
      </w:r>
    </w:p>
    <w:p w14:paraId="77FAE36D" w14:textId="77777777" w:rsidR="007A61BE" w:rsidRPr="00CF29BB" w:rsidRDefault="00E30717" w:rsidP="007A61BE">
      <w:pPr>
        <w:ind w:left="499" w:right="0"/>
        <w:rPr>
          <w:rFonts w:ascii="Source Sans Pro" w:hAnsi="Source Sans Pro"/>
        </w:rPr>
      </w:pPr>
      <w:r>
        <w:rPr>
          <w:rFonts w:ascii="Source Sans Pro" w:hAnsi="Source Sans Pro"/>
        </w:rPr>
        <w:t>A</w:t>
      </w:r>
      <w:r w:rsidR="00B81A57" w:rsidRPr="00CF29BB">
        <w:rPr>
          <w:rFonts w:ascii="Source Sans Pro" w:hAnsi="Source Sans Pro"/>
        </w:rPr>
        <w:t xml:space="preserve"> Data Dictionary is also included in the simulation file</w:t>
      </w:r>
      <w:r>
        <w:rPr>
          <w:rFonts w:ascii="Source Sans Pro" w:hAnsi="Source Sans Pro"/>
        </w:rPr>
        <w:t xml:space="preserve"> and a PowerPoint on sources can be found on the SCFF Community within the Vision Resource Center</w:t>
      </w:r>
      <w:r w:rsidR="00B81A57" w:rsidRPr="00CF29BB">
        <w:rPr>
          <w:rFonts w:ascii="Source Sans Pro" w:hAnsi="Source Sans Pro"/>
        </w:rPr>
        <w:t xml:space="preserve">. </w:t>
      </w:r>
      <w:r w:rsidR="007A61BE" w:rsidRPr="00CF29BB">
        <w:rPr>
          <w:rFonts w:ascii="Source Sans Pro" w:hAnsi="Source Sans Pro"/>
        </w:rPr>
        <w:t xml:space="preserve"> </w:t>
      </w:r>
    </w:p>
    <w:p w14:paraId="6EF3BF9C" w14:textId="77777777" w:rsidR="007A61BE" w:rsidRPr="00CF29BB" w:rsidRDefault="007A61BE" w:rsidP="00762995">
      <w:pPr>
        <w:pStyle w:val="Heading2"/>
      </w:pPr>
      <w:bookmarkStart w:id="73" w:name="_Toc518053165"/>
      <w:r w:rsidRPr="00CF29BB">
        <w:t>Can someone at my district verify the data and run the reports used for the SCFF?</w:t>
      </w:r>
      <w:bookmarkEnd w:id="73"/>
      <w:r w:rsidRPr="00CF29BB">
        <w:t xml:space="preserve"> </w:t>
      </w:r>
      <w:r w:rsidR="00EA7095" w:rsidRPr="00CF29BB">
        <w:t>What are the timelines for the MIS Data</w:t>
      </w:r>
      <w:r w:rsidR="004F3395">
        <w:t xml:space="preserve"> M</w:t>
      </w:r>
      <w:r w:rsidR="00EA7095" w:rsidRPr="00CF29BB">
        <w:t xml:space="preserve">art and the SCFF calculators? </w:t>
      </w:r>
    </w:p>
    <w:p w14:paraId="180ABCFC" w14:textId="77777777" w:rsidR="007A61BE" w:rsidRPr="00CF29BB" w:rsidRDefault="00037500" w:rsidP="00EA7095">
      <w:pPr>
        <w:rPr>
          <w:rFonts w:ascii="Source Sans Pro" w:hAnsi="Source Sans Pro"/>
        </w:rPr>
      </w:pPr>
      <w:r>
        <w:rPr>
          <w:rFonts w:ascii="Source Sans Pro" w:hAnsi="Source Sans Pro"/>
          <w:shd w:val="clear" w:color="auto" w:fill="FFFFFF"/>
        </w:rPr>
        <w:t>For most</w:t>
      </w:r>
      <w:r w:rsidRPr="00CF29BB">
        <w:rPr>
          <w:rFonts w:ascii="Source Sans Pro" w:hAnsi="Source Sans Pro"/>
          <w:shd w:val="clear" w:color="auto" w:fill="FFFFFF"/>
        </w:rPr>
        <w:t xml:space="preserve"> </w:t>
      </w:r>
      <w:r w:rsidR="00EA7095" w:rsidRPr="00CF29BB">
        <w:rPr>
          <w:rFonts w:ascii="Source Sans Pro" w:hAnsi="Source Sans Pro"/>
          <w:shd w:val="clear" w:color="auto" w:fill="FFFFFF"/>
        </w:rPr>
        <w:t>data elements</w:t>
      </w:r>
      <w:r>
        <w:rPr>
          <w:rFonts w:ascii="Source Sans Pro" w:hAnsi="Source Sans Pro"/>
          <w:shd w:val="clear" w:color="auto" w:fill="FFFFFF"/>
        </w:rPr>
        <w:t>, you</w:t>
      </w:r>
      <w:r w:rsidR="009F7E07">
        <w:rPr>
          <w:rFonts w:ascii="Source Sans Pro" w:hAnsi="Source Sans Pro"/>
          <w:shd w:val="clear" w:color="auto" w:fill="FFFFFF"/>
        </w:rPr>
        <w:t xml:space="preserve"> </w:t>
      </w:r>
      <w:r w:rsidR="00EA7095" w:rsidRPr="00CF29BB">
        <w:rPr>
          <w:rFonts w:ascii="Source Sans Pro" w:hAnsi="Source Sans Pro"/>
          <w:shd w:val="clear" w:color="auto" w:fill="FFFFFF"/>
        </w:rPr>
        <w:t xml:space="preserve">can </w:t>
      </w:r>
      <w:r>
        <w:rPr>
          <w:rFonts w:ascii="Source Sans Pro" w:hAnsi="Source Sans Pro"/>
          <w:shd w:val="clear" w:color="auto" w:fill="FFFFFF"/>
        </w:rPr>
        <w:t>verify data</w:t>
      </w:r>
      <w:r w:rsidR="00EA7095" w:rsidRPr="00CF29BB">
        <w:rPr>
          <w:rFonts w:ascii="Source Sans Pro" w:hAnsi="Source Sans Pro"/>
          <w:shd w:val="clear" w:color="auto" w:fill="FFFFFF"/>
        </w:rPr>
        <w:t xml:space="preserve"> locally using the 320 Attendance Reports and the Chancellor’s Office M</w:t>
      </w:r>
      <w:r w:rsidR="004F3395">
        <w:rPr>
          <w:rFonts w:ascii="Source Sans Pro" w:hAnsi="Source Sans Pro"/>
          <w:shd w:val="clear" w:color="auto" w:fill="FFFFFF"/>
        </w:rPr>
        <w:t xml:space="preserve">IS </w:t>
      </w:r>
      <w:r w:rsidR="00EA7095" w:rsidRPr="00CF29BB">
        <w:rPr>
          <w:rFonts w:ascii="Source Sans Pro" w:hAnsi="Source Sans Pro"/>
          <w:shd w:val="clear" w:color="auto" w:fill="FFFFFF"/>
        </w:rPr>
        <w:t>Data Mart as well as Data on Demand.</w:t>
      </w:r>
    </w:p>
    <w:p w14:paraId="6F00C604" w14:textId="77777777" w:rsidR="006E522B" w:rsidRPr="00CF29BB" w:rsidRDefault="006E522B" w:rsidP="006E522B">
      <w:pPr>
        <w:pStyle w:val="Heading2"/>
      </w:pPr>
      <w:r w:rsidRPr="00CF29BB">
        <w:t xml:space="preserve">Is it possible to have a spreadsheet detailing my individual district’s projected changes under the SCFF, similar to the systemwide simulation? </w:t>
      </w:r>
    </w:p>
    <w:p w14:paraId="0BB989AF" w14:textId="77777777" w:rsidR="006E522B" w:rsidRPr="00CF29BB" w:rsidRDefault="00037500" w:rsidP="006E522B">
      <w:pPr>
        <w:ind w:left="499" w:right="0"/>
        <w:rPr>
          <w:rFonts w:ascii="Source Sans Pro" w:hAnsi="Source Sans Pro"/>
        </w:rPr>
      </w:pPr>
      <w:r>
        <w:rPr>
          <w:rFonts w:ascii="Source Sans Pro" w:hAnsi="Source Sans Pro"/>
        </w:rPr>
        <w:t xml:space="preserve">The Chancellor’s Office has partnered with the Fiscal Crisis and Management Assistance Team to make a calculator available: </w:t>
      </w:r>
      <w:hyperlink r:id="rId14" w:history="1">
        <w:r w:rsidRPr="00D72F6E">
          <w:rPr>
            <w:rStyle w:val="Hyperlink"/>
            <w:rFonts w:ascii="Source Sans Pro" w:hAnsi="Source Sans Pro"/>
          </w:rPr>
          <w:t>http://fcmat.org/community-colleges/</w:t>
        </w:r>
      </w:hyperlink>
      <w:r>
        <w:rPr>
          <w:rFonts w:ascii="Source Sans Pro" w:hAnsi="Source Sans Pro"/>
        </w:rPr>
        <w:t>. Using this calculator, a district can project changes under the SCFF for 2018-19 and for subsequent years.</w:t>
      </w:r>
    </w:p>
    <w:p w14:paraId="67E3A65C" w14:textId="77777777" w:rsidR="00EA7095" w:rsidRPr="00CF29BB" w:rsidRDefault="004F3395" w:rsidP="00EA7095">
      <w:pPr>
        <w:pStyle w:val="Heading2"/>
      </w:pPr>
      <w:r>
        <w:t>Data on Demand is district-based.</w:t>
      </w:r>
      <w:r w:rsidR="00EA7095" w:rsidRPr="00CF29BB">
        <w:t xml:space="preserve"> </w:t>
      </w:r>
      <w:r>
        <w:t>W</w:t>
      </w:r>
      <w:r w:rsidR="00EA7095" w:rsidRPr="00CF29BB">
        <w:t>ill there be a college indicator so that individual colleges can parse out their data?</w:t>
      </w:r>
    </w:p>
    <w:p w14:paraId="23720292" w14:textId="77777777" w:rsidR="00EA7095" w:rsidRPr="00CF29BB" w:rsidRDefault="00EA7095" w:rsidP="00EA7095">
      <w:pPr>
        <w:spacing w:after="160" w:line="259" w:lineRule="auto"/>
        <w:ind w:right="0"/>
        <w:jc w:val="left"/>
        <w:rPr>
          <w:rFonts w:ascii="Source Sans Pro" w:hAnsi="Source Sans Pro"/>
        </w:rPr>
      </w:pPr>
      <w:r w:rsidRPr="00CF29BB">
        <w:rPr>
          <w:rFonts w:ascii="Source Sans Pro" w:hAnsi="Source Sans Pro"/>
        </w:rPr>
        <w:t xml:space="preserve">MIS is working on adding college-level data to Data on Demand. </w:t>
      </w:r>
      <w:r w:rsidR="00037500">
        <w:rPr>
          <w:rFonts w:ascii="Source Sans Pro" w:hAnsi="Source Sans Pro"/>
        </w:rPr>
        <w:t>Further</w:t>
      </w:r>
      <w:r w:rsidR="00574172">
        <w:rPr>
          <w:rFonts w:ascii="Source Sans Pro" w:hAnsi="Source Sans Pro"/>
        </w:rPr>
        <w:t>more</w:t>
      </w:r>
      <w:r w:rsidR="00037500">
        <w:rPr>
          <w:rFonts w:ascii="Source Sans Pro" w:hAnsi="Source Sans Pro"/>
        </w:rPr>
        <w:t>,</w:t>
      </w:r>
      <w:r w:rsidR="00E52741" w:rsidRPr="00CF29BB">
        <w:rPr>
          <w:rFonts w:ascii="Source Sans Pro" w:hAnsi="Source Sans Pro"/>
        </w:rPr>
        <w:t xml:space="preserve"> </w:t>
      </w:r>
      <w:r w:rsidR="00E92B64" w:rsidRPr="00CF29BB">
        <w:rPr>
          <w:rFonts w:ascii="Source Sans Pro" w:hAnsi="Source Sans Pro"/>
        </w:rPr>
        <w:t>Launchboard will provide disaggregated data by February 2019.</w:t>
      </w:r>
    </w:p>
    <w:p w14:paraId="67D96B23" w14:textId="77777777" w:rsidR="006E522B" w:rsidRPr="00CF29BB" w:rsidRDefault="006E522B" w:rsidP="006E522B">
      <w:pPr>
        <w:pStyle w:val="Heading2"/>
      </w:pPr>
      <w:bookmarkStart w:id="74" w:name="_Toc518053181"/>
      <w:r w:rsidRPr="00CF29BB">
        <w:t xml:space="preserve">Will there be </w:t>
      </w:r>
      <w:r w:rsidR="00E52741" w:rsidRPr="00CF29BB">
        <w:t>p</w:t>
      </w:r>
      <w:r w:rsidRPr="00CF29BB">
        <w:t xml:space="preserve">rofessional </w:t>
      </w:r>
      <w:r w:rsidR="00E52741" w:rsidRPr="00CF29BB">
        <w:t>d</w:t>
      </w:r>
      <w:r w:rsidRPr="00CF29BB">
        <w:t xml:space="preserve">evelopment for all campuses to seek resources on how to scale up best practices in student success and achieving desirable outcomes under the </w:t>
      </w:r>
      <w:r w:rsidR="00E52741" w:rsidRPr="00CF29BB">
        <w:t>SCFF</w:t>
      </w:r>
      <w:r w:rsidRPr="00CF29BB">
        <w:t xml:space="preserve">? </w:t>
      </w:r>
    </w:p>
    <w:p w14:paraId="1AEFFE3A" w14:textId="77777777" w:rsidR="00037500" w:rsidRPr="00CF29BB" w:rsidRDefault="00EA7095" w:rsidP="00EA7095">
      <w:pPr>
        <w:rPr>
          <w:rFonts w:ascii="Source Sans Pro" w:hAnsi="Source Sans Pro"/>
        </w:rPr>
      </w:pPr>
      <w:r w:rsidRPr="00CF29BB">
        <w:rPr>
          <w:rFonts w:ascii="Source Sans Pro" w:hAnsi="Source Sans Pro"/>
        </w:rPr>
        <w:t xml:space="preserve">The Chancellor’s </w:t>
      </w:r>
      <w:r w:rsidR="00037500">
        <w:rPr>
          <w:rFonts w:ascii="Source Sans Pro" w:hAnsi="Source Sans Pro"/>
        </w:rPr>
        <w:t>Office is making support available through the implementation of Guided Pathways and through the Institutional Effectiveness Partnership Initiative. You are encouraged to get involved in the discussions around Guided Pathways at your college.</w:t>
      </w:r>
    </w:p>
    <w:p w14:paraId="03F8A8C0" w14:textId="77777777" w:rsidR="006E522B" w:rsidRPr="00CF29BB" w:rsidRDefault="006E522B" w:rsidP="006E522B">
      <w:pPr>
        <w:pStyle w:val="Heading2"/>
      </w:pPr>
      <w:r w:rsidRPr="00CF29BB">
        <w:t xml:space="preserve">Will the Chancellor’s Office be conducting a budget workshop this year? </w:t>
      </w:r>
    </w:p>
    <w:p w14:paraId="756E91A2" w14:textId="77777777" w:rsidR="00E30717" w:rsidRDefault="006E522B" w:rsidP="00E30717">
      <w:r w:rsidRPr="00E30717">
        <w:t xml:space="preserve">Budget Workshops </w:t>
      </w:r>
      <w:r w:rsidR="00A14A9E">
        <w:t>were</w:t>
      </w:r>
      <w:r w:rsidRPr="00E30717">
        <w:t xml:space="preserve"> held on August 13th (North) and 15th (South</w:t>
      </w:r>
      <w:r w:rsidRPr="00CF29BB">
        <w:t>)</w:t>
      </w:r>
      <w:r w:rsidR="00A14A9E">
        <w:t xml:space="preserve"> 2018.</w:t>
      </w:r>
    </w:p>
    <w:p w14:paraId="2DD5E36C" w14:textId="77777777" w:rsidR="006E522B" w:rsidRPr="00E30717" w:rsidRDefault="006E522B" w:rsidP="00E30717">
      <w:pPr>
        <w:pStyle w:val="Heading2"/>
      </w:pPr>
      <w:r w:rsidRPr="00CF29BB">
        <w:t xml:space="preserve"> </w:t>
      </w:r>
      <w:r w:rsidR="004F3395">
        <w:t>Will the Chancellor’s O</w:t>
      </w:r>
      <w:r w:rsidRPr="00E30717">
        <w:t>ffice be recalculating the SCFF at Recalc or is it going to be set using P2?</w:t>
      </w:r>
    </w:p>
    <w:p w14:paraId="01826B8C" w14:textId="77777777" w:rsidR="00EA7095" w:rsidRPr="00CF29BB" w:rsidRDefault="00037500" w:rsidP="00EA7095">
      <w:pPr>
        <w:rPr>
          <w:rFonts w:ascii="Source Sans Pro" w:hAnsi="Source Sans Pro"/>
        </w:rPr>
      </w:pPr>
      <w:r>
        <w:rPr>
          <w:rFonts w:ascii="Source Sans Pro" w:hAnsi="Source Sans Pro"/>
        </w:rPr>
        <w:t>The Chancellor’s Office will recalculate the formula consistent with current practice.</w:t>
      </w:r>
    </w:p>
    <w:p w14:paraId="03648E03" w14:textId="77777777" w:rsidR="006E522B" w:rsidRPr="00CF29BB" w:rsidRDefault="006E522B" w:rsidP="000051DE">
      <w:pPr>
        <w:pStyle w:val="Heading1"/>
        <w:ind w:left="0"/>
        <w:rPr>
          <w:rFonts w:ascii="Source Sans Pro" w:hAnsi="Source Sans Pro"/>
          <w:color w:val="002F6D"/>
        </w:rPr>
      </w:pPr>
      <w:bookmarkStart w:id="75" w:name="_Toc536798202"/>
      <w:bookmarkStart w:id="76" w:name="_Toc518053170"/>
      <w:bookmarkEnd w:id="74"/>
      <w:r w:rsidRPr="00CF29BB">
        <w:rPr>
          <w:rFonts w:ascii="Source Sans Pro" w:hAnsi="Source Sans Pro"/>
          <w:color w:val="002F6D"/>
        </w:rPr>
        <w:t>Monitoring and Implementation</w:t>
      </w:r>
      <w:bookmarkEnd w:id="75"/>
      <w:r w:rsidRPr="00CF29BB">
        <w:rPr>
          <w:rFonts w:ascii="Source Sans Pro" w:hAnsi="Source Sans Pro"/>
          <w:color w:val="002F6D"/>
        </w:rPr>
        <w:t xml:space="preserve"> </w:t>
      </w:r>
    </w:p>
    <w:p w14:paraId="43A8CCC0" w14:textId="77777777" w:rsidR="007A61BE" w:rsidRPr="00CF29BB" w:rsidRDefault="007A61BE" w:rsidP="006E522B">
      <w:pPr>
        <w:pStyle w:val="Heading2"/>
        <w:rPr>
          <w:rStyle w:val="Heading2Char"/>
        </w:rPr>
      </w:pPr>
      <w:r w:rsidRPr="00CF29BB">
        <w:rPr>
          <w:rStyle w:val="Heading2Char"/>
        </w:rPr>
        <w:t xml:space="preserve"> How will the Chancellor’s Office monitor the implementation of the SCFF in future years,</w:t>
      </w:r>
      <w:bookmarkEnd w:id="76"/>
      <w:r w:rsidRPr="00CF29BB">
        <w:rPr>
          <w:b/>
          <w:sz w:val="24"/>
        </w:rPr>
        <w:t xml:space="preserve"> </w:t>
      </w:r>
      <w:r w:rsidRPr="00CF29BB">
        <w:rPr>
          <w:rStyle w:val="Heading2Char"/>
        </w:rPr>
        <w:t xml:space="preserve">including modifying metrics and their weights? </w:t>
      </w:r>
    </w:p>
    <w:p w14:paraId="3DC3C7E9" w14:textId="77777777" w:rsidR="007A61BE" w:rsidRPr="00CF29BB" w:rsidRDefault="00C073E3" w:rsidP="007A61BE">
      <w:pPr>
        <w:ind w:left="499" w:right="0"/>
        <w:rPr>
          <w:rFonts w:ascii="Source Sans Pro" w:hAnsi="Source Sans Pro"/>
        </w:rPr>
      </w:pPr>
      <w:r>
        <w:rPr>
          <w:rFonts w:ascii="Source Sans Pro" w:hAnsi="Source Sans Pro"/>
        </w:rPr>
        <w:t>The</w:t>
      </w:r>
      <w:r w:rsidR="007A61BE" w:rsidRPr="00CF29BB">
        <w:rPr>
          <w:rFonts w:ascii="Source Sans Pro" w:hAnsi="Source Sans Pro"/>
        </w:rPr>
        <w:t xml:space="preserve"> Chancellor’s </w:t>
      </w:r>
      <w:r>
        <w:rPr>
          <w:rFonts w:ascii="Source Sans Pro" w:hAnsi="Source Sans Pro"/>
        </w:rPr>
        <w:t>O</w:t>
      </w:r>
      <w:r w:rsidRPr="00CF29BB">
        <w:rPr>
          <w:rFonts w:ascii="Source Sans Pro" w:hAnsi="Source Sans Pro"/>
        </w:rPr>
        <w:t>ffice</w:t>
      </w:r>
      <w:r>
        <w:rPr>
          <w:rFonts w:ascii="Source Sans Pro" w:hAnsi="Source Sans Pro"/>
        </w:rPr>
        <w:t xml:space="preserve">, in coordination with the SCFF Oversight Committee, is collecting data and monitoring </w:t>
      </w:r>
      <w:r w:rsidR="007A61BE" w:rsidRPr="00CF29BB">
        <w:rPr>
          <w:rFonts w:ascii="Source Sans Pro" w:hAnsi="Source Sans Pro"/>
        </w:rPr>
        <w:t>the effects of the SCFF</w:t>
      </w:r>
      <w:r w:rsidR="009F7E07">
        <w:rPr>
          <w:rFonts w:ascii="Source Sans Pro" w:hAnsi="Source Sans Pro"/>
        </w:rPr>
        <w:t>.</w:t>
      </w:r>
    </w:p>
    <w:p w14:paraId="1AD90E4A" w14:textId="77777777" w:rsidR="007A61BE" w:rsidRPr="00CF29BB" w:rsidRDefault="006E522B" w:rsidP="006E522B">
      <w:pPr>
        <w:pStyle w:val="Heading2"/>
      </w:pPr>
      <w:bookmarkStart w:id="77" w:name="_Toc518053171"/>
      <w:r w:rsidRPr="00CF29BB">
        <w:lastRenderedPageBreak/>
        <w:t xml:space="preserve"> </w:t>
      </w:r>
      <w:r w:rsidR="007A61BE" w:rsidRPr="00CF29BB">
        <w:t>How will the SCFF affect my district’s master planning process?</w:t>
      </w:r>
      <w:bookmarkEnd w:id="77"/>
      <w:r w:rsidR="007A61BE" w:rsidRPr="00CF29BB">
        <w:t xml:space="preserve"> </w:t>
      </w:r>
    </w:p>
    <w:p w14:paraId="1405DBCA" w14:textId="77777777" w:rsidR="007A61BE" w:rsidRPr="00CF29BB" w:rsidRDefault="00C073E3" w:rsidP="007A61BE">
      <w:pPr>
        <w:ind w:left="499" w:right="0"/>
        <w:rPr>
          <w:rFonts w:ascii="Source Sans Pro" w:hAnsi="Source Sans Pro"/>
        </w:rPr>
      </w:pPr>
      <w:r>
        <w:rPr>
          <w:rFonts w:ascii="Source Sans Pro" w:hAnsi="Source Sans Pro"/>
        </w:rPr>
        <w:t xml:space="preserve">The law creates new requirements that districts adopt goals aligned with the </w:t>
      </w:r>
      <w:r w:rsidR="004F3395">
        <w:rPr>
          <w:rFonts w:ascii="Source Sans Pro" w:hAnsi="Source Sans Pro"/>
          <w:i/>
        </w:rPr>
        <w:t>Vision</w:t>
      </w:r>
      <w:r>
        <w:rPr>
          <w:rFonts w:ascii="Source Sans Pro" w:hAnsi="Source Sans Pro"/>
        </w:rPr>
        <w:t xml:space="preserve">, align their comprehensive plans with those goals, and align their budgets with their plans. </w:t>
      </w:r>
      <w:r w:rsidR="004F3395">
        <w:rPr>
          <w:rFonts w:ascii="Source Sans Pro" w:hAnsi="Source Sans Pro"/>
        </w:rPr>
        <w:t>R</w:t>
      </w:r>
      <w:r w:rsidR="007A61BE" w:rsidRPr="00CF29BB">
        <w:rPr>
          <w:rFonts w:ascii="Source Sans Pro" w:hAnsi="Source Sans Pro"/>
        </w:rPr>
        <w:t>efer to AB 1809, Section 32, paragraph (m).</w:t>
      </w:r>
      <w:r>
        <w:rPr>
          <w:rFonts w:ascii="Source Sans Pro" w:hAnsi="Source Sans Pro"/>
        </w:rPr>
        <w:t xml:space="preserve"> The Chancellor’s Office produced guidance on the adoption of goals at the local level. District boards</w:t>
      </w:r>
      <w:r w:rsidR="004F3395">
        <w:rPr>
          <w:rFonts w:ascii="Source Sans Pro" w:hAnsi="Source Sans Pro"/>
        </w:rPr>
        <w:t xml:space="preserve"> were required to </w:t>
      </w:r>
      <w:r>
        <w:rPr>
          <w:rFonts w:ascii="Source Sans Pro" w:hAnsi="Source Sans Pro"/>
        </w:rPr>
        <w:t>adopt goals and submit them to the Chancellor’s Office by December 31, 2018.</w:t>
      </w:r>
    </w:p>
    <w:p w14:paraId="3FCDA2FC" w14:textId="77777777" w:rsidR="007A61BE" w:rsidRPr="00CF29BB" w:rsidRDefault="006E522B" w:rsidP="006E522B">
      <w:pPr>
        <w:pStyle w:val="Heading2"/>
      </w:pPr>
      <w:bookmarkStart w:id="78" w:name="_Toc518053172"/>
      <w:r w:rsidRPr="00CF29BB">
        <w:t xml:space="preserve"> </w:t>
      </w:r>
      <w:r w:rsidR="007A61BE" w:rsidRPr="00CF29BB">
        <w:t>How will external auditing requirements change with the SCFF?</w:t>
      </w:r>
      <w:bookmarkEnd w:id="78"/>
      <w:r w:rsidR="007A61BE" w:rsidRPr="00CF29BB">
        <w:t xml:space="preserve"> </w:t>
      </w:r>
    </w:p>
    <w:p w14:paraId="4EF265C7" w14:textId="77777777" w:rsidR="007A61BE" w:rsidRPr="00CF29BB" w:rsidRDefault="007A61BE" w:rsidP="007A61BE">
      <w:pPr>
        <w:ind w:left="499" w:right="0"/>
        <w:rPr>
          <w:rFonts w:ascii="Source Sans Pro" w:hAnsi="Source Sans Pro"/>
        </w:rPr>
      </w:pPr>
      <w:r w:rsidRPr="00CF29BB">
        <w:rPr>
          <w:rFonts w:ascii="Source Sans Pro" w:hAnsi="Source Sans Pro"/>
        </w:rPr>
        <w:t xml:space="preserve">Further instructions will be forthcoming from the Chancellor’s Office on audit requirements.  </w:t>
      </w:r>
    </w:p>
    <w:p w14:paraId="44376107" w14:textId="77777777" w:rsidR="00EA7095" w:rsidRPr="00CF29BB" w:rsidRDefault="00EA7095" w:rsidP="00EA7095">
      <w:pPr>
        <w:pStyle w:val="Heading2"/>
      </w:pPr>
      <w:bookmarkStart w:id="79" w:name="_Toc518053173"/>
      <w:r w:rsidRPr="00CF29BB">
        <w:t xml:space="preserve"> Will </w:t>
      </w:r>
      <w:r w:rsidR="009D2B10" w:rsidRPr="00CF29BB">
        <w:t>districts</w:t>
      </w:r>
      <w:r w:rsidRPr="00CF29BB">
        <w:t xml:space="preserve"> need to use the new SCFF metrics when revising our student education plans due June 2019?</w:t>
      </w:r>
    </w:p>
    <w:p w14:paraId="1B922C4D" w14:textId="77777777" w:rsidR="00EA7095" w:rsidRPr="00CF29BB" w:rsidRDefault="00EA7095" w:rsidP="00EA7095">
      <w:pPr>
        <w:rPr>
          <w:rFonts w:ascii="Source Sans Pro" w:hAnsi="Source Sans Pro"/>
        </w:rPr>
      </w:pPr>
      <w:r w:rsidRPr="00CF29BB">
        <w:rPr>
          <w:rFonts w:ascii="Source Sans Pro" w:hAnsi="Source Sans Pro"/>
        </w:rPr>
        <w:t>Yes</w:t>
      </w:r>
      <w:r w:rsidR="00174C09" w:rsidRPr="00CF29BB">
        <w:rPr>
          <w:rFonts w:ascii="Source Sans Pro" w:hAnsi="Source Sans Pro"/>
        </w:rPr>
        <w:t>.</w:t>
      </w:r>
    </w:p>
    <w:p w14:paraId="51BA48E2" w14:textId="77777777" w:rsidR="007A61BE" w:rsidRPr="00CF29BB" w:rsidRDefault="006E522B" w:rsidP="006E522B">
      <w:pPr>
        <w:pStyle w:val="Heading2"/>
      </w:pPr>
      <w:r w:rsidRPr="00CF29BB">
        <w:t xml:space="preserve"> </w:t>
      </w:r>
      <w:r w:rsidR="007A61BE" w:rsidRPr="00CF29BB">
        <w:t>Is this formula and/or the specific data elements specified in statute? If changes are needed in the future, will additional statutory changes be needed? Does the Chancellor’s Office have the authority to make changes</w:t>
      </w:r>
      <w:r w:rsidR="003A66E4">
        <w:t xml:space="preserve"> and</w:t>
      </w:r>
      <w:r w:rsidR="007A61BE" w:rsidRPr="00CF29BB">
        <w:t xml:space="preserve"> assess the effectiveness of the formula?</w:t>
      </w:r>
      <w:bookmarkEnd w:id="79"/>
    </w:p>
    <w:p w14:paraId="728AE7CE" w14:textId="77777777" w:rsidR="007A61BE" w:rsidRPr="00CF29BB" w:rsidRDefault="007A61BE" w:rsidP="007A61BE">
      <w:pPr>
        <w:rPr>
          <w:rFonts w:ascii="Source Sans Pro" w:hAnsi="Source Sans Pro"/>
        </w:rPr>
      </w:pPr>
      <w:r w:rsidRPr="00CF29BB">
        <w:rPr>
          <w:rFonts w:ascii="Source Sans Pro" w:hAnsi="Source Sans Pro"/>
        </w:rPr>
        <w:t>Yes</w:t>
      </w:r>
      <w:r w:rsidR="000051DE" w:rsidRPr="00CF29BB">
        <w:rPr>
          <w:rFonts w:ascii="Source Sans Pro" w:hAnsi="Source Sans Pro"/>
        </w:rPr>
        <w:t>.</w:t>
      </w:r>
      <w:r w:rsidRPr="00CF29BB">
        <w:rPr>
          <w:rFonts w:ascii="Source Sans Pro" w:hAnsi="Source Sans Pro"/>
        </w:rPr>
        <w:t xml:space="preserve"> </w:t>
      </w:r>
      <w:r w:rsidR="000051DE" w:rsidRPr="00CF29BB">
        <w:rPr>
          <w:rFonts w:ascii="Source Sans Pro" w:hAnsi="Source Sans Pro"/>
        </w:rPr>
        <w:t>T</w:t>
      </w:r>
      <w:r w:rsidRPr="00CF29BB">
        <w:rPr>
          <w:rFonts w:ascii="Source Sans Pro" w:hAnsi="Source Sans Pro"/>
        </w:rPr>
        <w:t xml:space="preserve">he funding </w:t>
      </w:r>
      <w:r w:rsidR="00C073E3">
        <w:rPr>
          <w:rFonts w:ascii="Source Sans Pro" w:hAnsi="Source Sans Pro"/>
        </w:rPr>
        <w:t>factors and rates</w:t>
      </w:r>
      <w:r w:rsidR="000051DE" w:rsidRPr="00CF29BB">
        <w:rPr>
          <w:rFonts w:ascii="Source Sans Pro" w:hAnsi="Source Sans Pro"/>
        </w:rPr>
        <w:t xml:space="preserve"> </w:t>
      </w:r>
      <w:r w:rsidRPr="00CF29BB">
        <w:rPr>
          <w:rFonts w:ascii="Source Sans Pro" w:hAnsi="Source Sans Pro"/>
        </w:rPr>
        <w:t xml:space="preserve">are </w:t>
      </w:r>
      <w:r w:rsidR="00C073E3">
        <w:rPr>
          <w:rFonts w:ascii="Source Sans Pro" w:hAnsi="Source Sans Pro"/>
        </w:rPr>
        <w:t>included</w:t>
      </w:r>
      <w:r w:rsidR="00C073E3" w:rsidRPr="00CF29BB">
        <w:rPr>
          <w:rFonts w:ascii="Source Sans Pro" w:hAnsi="Source Sans Pro"/>
        </w:rPr>
        <w:t xml:space="preserve"> </w:t>
      </w:r>
      <w:r w:rsidRPr="00CF29BB">
        <w:rPr>
          <w:rFonts w:ascii="Source Sans Pro" w:hAnsi="Source Sans Pro"/>
        </w:rPr>
        <w:t>in</w:t>
      </w:r>
      <w:r w:rsidR="00C073E3">
        <w:rPr>
          <w:rFonts w:ascii="Source Sans Pro" w:hAnsi="Source Sans Pro"/>
        </w:rPr>
        <w:t xml:space="preserve"> the</w:t>
      </w:r>
      <w:r w:rsidRPr="00CF29BB">
        <w:rPr>
          <w:rFonts w:ascii="Source Sans Pro" w:hAnsi="Source Sans Pro"/>
        </w:rPr>
        <w:t xml:space="preserve"> statute (AB 1809). </w:t>
      </w:r>
      <w:r w:rsidR="00C073E3">
        <w:rPr>
          <w:rFonts w:ascii="Source Sans Pro" w:hAnsi="Source Sans Pro"/>
        </w:rPr>
        <w:t>Changes to those factors and rates</w:t>
      </w:r>
      <w:r w:rsidRPr="00CF29BB">
        <w:rPr>
          <w:rFonts w:ascii="Source Sans Pro" w:hAnsi="Source Sans Pro"/>
        </w:rPr>
        <w:t xml:space="preserve"> would require </w:t>
      </w:r>
      <w:r w:rsidR="00C073E3">
        <w:rPr>
          <w:rFonts w:ascii="Source Sans Pro" w:hAnsi="Source Sans Pro"/>
        </w:rPr>
        <w:t>changes</w:t>
      </w:r>
      <w:r w:rsidRPr="00CF29BB">
        <w:rPr>
          <w:rFonts w:ascii="Source Sans Pro" w:hAnsi="Source Sans Pro"/>
        </w:rPr>
        <w:t xml:space="preserve"> in statute.</w:t>
      </w:r>
    </w:p>
    <w:p w14:paraId="55EBC4A4" w14:textId="77777777" w:rsidR="006E522B" w:rsidRPr="00CF29BB" w:rsidRDefault="007A61BE" w:rsidP="006E522B">
      <w:pPr>
        <w:pStyle w:val="Heading2"/>
      </w:pPr>
      <w:r w:rsidRPr="00CF29BB">
        <w:t xml:space="preserve"> </w:t>
      </w:r>
      <w:bookmarkStart w:id="80" w:name="_Toc518053177"/>
      <w:r w:rsidR="006E522B" w:rsidRPr="00CF29BB">
        <w:t>Who should be involved in reviewing the metrics before submission? Is there a mechanism in place to review data for accuracy before final submission?</w:t>
      </w:r>
      <w:bookmarkEnd w:id="80"/>
      <w:r w:rsidR="006E522B" w:rsidRPr="00CF29BB">
        <w:t xml:space="preserve"> </w:t>
      </w:r>
    </w:p>
    <w:p w14:paraId="50E3BCB1" w14:textId="77777777" w:rsidR="006E522B" w:rsidRPr="00CF29BB" w:rsidRDefault="00C073E3" w:rsidP="006E522B">
      <w:pPr>
        <w:pStyle w:val="NoSpacing"/>
        <w:spacing w:after="248"/>
        <w:rPr>
          <w:rFonts w:ascii="Source Sans Pro" w:hAnsi="Source Sans Pro"/>
        </w:rPr>
      </w:pPr>
      <w:r>
        <w:rPr>
          <w:rFonts w:ascii="Source Sans Pro" w:hAnsi="Source Sans Pro"/>
        </w:rPr>
        <w:t>The district is responsible for submitting</w:t>
      </w:r>
      <w:r w:rsidR="006E522B" w:rsidRPr="00CF29BB">
        <w:rPr>
          <w:rFonts w:ascii="Source Sans Pro" w:hAnsi="Source Sans Pro"/>
        </w:rPr>
        <w:t xml:space="preserve"> </w:t>
      </w:r>
      <w:r w:rsidR="00A4723C" w:rsidRPr="00CF29BB">
        <w:rPr>
          <w:rFonts w:ascii="Source Sans Pro" w:hAnsi="Source Sans Pro"/>
        </w:rPr>
        <w:t xml:space="preserve">accurate </w:t>
      </w:r>
      <w:r w:rsidR="006E522B" w:rsidRPr="00CF29BB">
        <w:rPr>
          <w:rFonts w:ascii="Source Sans Pro" w:hAnsi="Source Sans Pro"/>
        </w:rPr>
        <w:t>data</w:t>
      </w:r>
      <w:r w:rsidR="00A4723C" w:rsidRPr="00CF29BB">
        <w:rPr>
          <w:rFonts w:ascii="Source Sans Pro" w:hAnsi="Source Sans Pro"/>
        </w:rPr>
        <w:t xml:space="preserve"> to the Chancellor’s Office</w:t>
      </w:r>
      <w:r w:rsidR="006E522B" w:rsidRPr="00CF29BB">
        <w:rPr>
          <w:rFonts w:ascii="Source Sans Pro" w:hAnsi="Source Sans Pro"/>
        </w:rPr>
        <w:t>.</w:t>
      </w:r>
      <w:r>
        <w:rPr>
          <w:rFonts w:ascii="Source Sans Pro" w:hAnsi="Source Sans Pro"/>
        </w:rPr>
        <w:t xml:space="preserve"> Districts are encouraged to have executive-level discussions about the internal processes that will be used to verify and validate data.</w:t>
      </w:r>
    </w:p>
    <w:p w14:paraId="4BCAA878" w14:textId="77777777" w:rsidR="004F57F2" w:rsidRPr="00CF29BB" w:rsidRDefault="004F57F2">
      <w:pPr>
        <w:rPr>
          <w:rFonts w:ascii="Source Sans Pro" w:hAnsi="Source Sans Pro"/>
        </w:rPr>
      </w:pPr>
    </w:p>
    <w:sectPr w:rsidR="004F57F2" w:rsidRPr="00CF29BB" w:rsidSect="001F7C91">
      <w:footerReference w:type="default" r:id="rId15"/>
      <w:pgSz w:w="12240" w:h="15840"/>
      <w:pgMar w:top="1445" w:right="1434" w:bottom="1573" w:left="936" w:header="720" w:footer="7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D5F49" w14:textId="77777777" w:rsidR="00852030" w:rsidRDefault="00852030">
      <w:pPr>
        <w:spacing w:after="0" w:line="240" w:lineRule="auto"/>
      </w:pPr>
      <w:r>
        <w:separator/>
      </w:r>
    </w:p>
  </w:endnote>
  <w:endnote w:type="continuationSeparator" w:id="0">
    <w:p w14:paraId="3CAA931E" w14:textId="77777777" w:rsidR="00852030" w:rsidRDefault="0085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DA92C" w14:textId="77777777" w:rsidR="003E07D3" w:rsidRDefault="003E07D3">
    <w:pPr>
      <w:spacing w:after="0" w:line="259" w:lineRule="auto"/>
      <w:ind w:left="548" w:right="0" w:firstLine="0"/>
      <w:jc w:val="center"/>
    </w:pPr>
    <w:r>
      <w:t xml:space="preserve"> </w:t>
    </w:r>
  </w:p>
  <w:p w14:paraId="609FC4C4" w14:textId="77777777" w:rsidR="003E07D3" w:rsidRDefault="003E07D3">
    <w:pPr>
      <w:spacing w:after="0" w:line="259" w:lineRule="auto"/>
      <w:ind w:left="500" w:right="0" w:firstLine="0"/>
      <w:jc w:val="center"/>
    </w:pPr>
    <w:r>
      <w:fldChar w:fldCharType="begin"/>
    </w:r>
    <w:r>
      <w:instrText xml:space="preserve"> PAGE   \* MERGEFORMAT </w:instrText>
    </w:r>
    <w:r>
      <w:fldChar w:fldCharType="separate"/>
    </w:r>
    <w:r>
      <w:t>1</w:t>
    </w:r>
    <w:r>
      <w:fldChar w:fldCharType="end"/>
    </w:r>
    <w:r>
      <w:t xml:space="preserve"> </w:t>
    </w:r>
  </w:p>
  <w:p w14:paraId="6C4C6D7D" w14:textId="77777777" w:rsidR="003E07D3" w:rsidRDefault="003E07D3">
    <w:pPr>
      <w:spacing w:after="0" w:line="259" w:lineRule="auto"/>
      <w:ind w:left="504"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192461"/>
      <w:docPartObj>
        <w:docPartGallery w:val="Page Numbers (Bottom of Page)"/>
        <w:docPartUnique/>
      </w:docPartObj>
    </w:sdtPr>
    <w:sdtEndPr>
      <w:rPr>
        <w:noProof/>
      </w:rPr>
    </w:sdtEndPr>
    <w:sdtContent>
      <w:p w14:paraId="7232C4DA" w14:textId="77777777" w:rsidR="003E07D3" w:rsidRDefault="00852030">
        <w:pPr>
          <w:pStyle w:val="Footer"/>
          <w:jc w:val="center"/>
        </w:pPr>
      </w:p>
    </w:sdtContent>
  </w:sdt>
  <w:p w14:paraId="20B6D609" w14:textId="77777777" w:rsidR="003E07D3" w:rsidRDefault="003E07D3">
    <w:pPr>
      <w:spacing w:after="0" w:line="259" w:lineRule="auto"/>
      <w:ind w:left="504"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4D5E" w14:textId="77777777" w:rsidR="003E07D3" w:rsidRDefault="003E07D3">
    <w:pPr>
      <w:spacing w:after="0" w:line="259" w:lineRule="auto"/>
      <w:ind w:left="548" w:right="0" w:firstLine="0"/>
      <w:jc w:val="center"/>
    </w:pPr>
    <w:r>
      <w:t xml:space="preserve"> </w:t>
    </w:r>
  </w:p>
  <w:p w14:paraId="01A2F308" w14:textId="77777777" w:rsidR="003E07D3" w:rsidRDefault="003E07D3">
    <w:pPr>
      <w:spacing w:after="0" w:line="259" w:lineRule="auto"/>
      <w:ind w:left="500" w:right="0" w:firstLine="0"/>
      <w:jc w:val="center"/>
    </w:pPr>
    <w:r>
      <w:fldChar w:fldCharType="begin"/>
    </w:r>
    <w:r>
      <w:instrText xml:space="preserve"> PAGE   \* MERGEFORMAT </w:instrText>
    </w:r>
    <w:r>
      <w:fldChar w:fldCharType="separate"/>
    </w:r>
    <w:r>
      <w:t>1</w:t>
    </w:r>
    <w:r>
      <w:fldChar w:fldCharType="end"/>
    </w:r>
    <w:r>
      <w:t xml:space="preserve"> </w:t>
    </w:r>
  </w:p>
  <w:p w14:paraId="63523240" w14:textId="77777777" w:rsidR="003E07D3" w:rsidRDefault="003E07D3">
    <w:pPr>
      <w:spacing w:after="0" w:line="259" w:lineRule="auto"/>
      <w:ind w:left="504" w:right="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498369"/>
      <w:docPartObj>
        <w:docPartGallery w:val="Page Numbers (Bottom of Page)"/>
        <w:docPartUnique/>
      </w:docPartObj>
    </w:sdtPr>
    <w:sdtEndPr>
      <w:rPr>
        <w:noProof/>
      </w:rPr>
    </w:sdtEndPr>
    <w:sdtContent>
      <w:p w14:paraId="42DA772D" w14:textId="30DBDE15" w:rsidR="003E07D3" w:rsidRDefault="003E07D3">
        <w:pPr>
          <w:pStyle w:val="Footer"/>
          <w:jc w:val="center"/>
        </w:pPr>
        <w:r>
          <w:fldChar w:fldCharType="begin"/>
        </w:r>
        <w:r>
          <w:instrText xml:space="preserve"> PAGE   \* MERGEFORMAT </w:instrText>
        </w:r>
        <w:r>
          <w:fldChar w:fldCharType="separate"/>
        </w:r>
        <w:r w:rsidR="009D1271">
          <w:rPr>
            <w:noProof/>
          </w:rPr>
          <w:t>18</w:t>
        </w:r>
        <w:r>
          <w:rPr>
            <w:noProof/>
          </w:rPr>
          <w:fldChar w:fldCharType="end"/>
        </w:r>
      </w:p>
    </w:sdtContent>
  </w:sdt>
  <w:p w14:paraId="521AD7E8" w14:textId="77777777" w:rsidR="003E07D3" w:rsidRDefault="003E07D3">
    <w:pPr>
      <w:spacing w:after="0" w:line="259" w:lineRule="auto"/>
      <w:ind w:left="50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C7C7D" w14:textId="77777777" w:rsidR="00852030" w:rsidRDefault="00852030">
      <w:pPr>
        <w:spacing w:after="0" w:line="240" w:lineRule="auto"/>
      </w:pPr>
      <w:r>
        <w:separator/>
      </w:r>
    </w:p>
  </w:footnote>
  <w:footnote w:type="continuationSeparator" w:id="0">
    <w:p w14:paraId="1D5ECEFE" w14:textId="77777777" w:rsidR="00852030" w:rsidRDefault="00852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766"/>
    <w:multiLevelType w:val="hybridMultilevel"/>
    <w:tmpl w:val="7098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F0B44"/>
    <w:multiLevelType w:val="hybridMultilevel"/>
    <w:tmpl w:val="BC4C5E08"/>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 w15:restartNumberingAfterBreak="0">
    <w:nsid w:val="0DC02872"/>
    <w:multiLevelType w:val="hybridMultilevel"/>
    <w:tmpl w:val="71D8D812"/>
    <w:lvl w:ilvl="0" w:tplc="F31E71A6">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B2CBF"/>
    <w:multiLevelType w:val="hybridMultilevel"/>
    <w:tmpl w:val="8CCC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16D7B"/>
    <w:multiLevelType w:val="hybridMultilevel"/>
    <w:tmpl w:val="9D72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C65FD"/>
    <w:multiLevelType w:val="hybridMultilevel"/>
    <w:tmpl w:val="709C77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3109BB"/>
    <w:multiLevelType w:val="hybridMultilevel"/>
    <w:tmpl w:val="E92038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4ECE7CFB"/>
    <w:multiLevelType w:val="hybridMultilevel"/>
    <w:tmpl w:val="709C7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A633D"/>
    <w:multiLevelType w:val="multilevel"/>
    <w:tmpl w:val="F1EEF3AC"/>
    <w:lvl w:ilvl="0">
      <w:start w:val="1"/>
      <w:numFmt w:val="upperLetter"/>
      <w:pStyle w:val="Heading1"/>
      <w:lvlText w:val="%1"/>
      <w:lvlJc w:val="left"/>
      <w:pPr>
        <w:ind w:left="522" w:hanging="432"/>
      </w:pPr>
      <w:rPr>
        <w:rFonts w:hint="default"/>
      </w:rPr>
    </w:lvl>
    <w:lvl w:ilvl="1">
      <w:start w:val="1"/>
      <w:numFmt w:val="decimal"/>
      <w:pStyle w:val="Heading2"/>
      <w:lvlText w:val="%1.%2"/>
      <w:lvlJc w:val="left"/>
      <w:pPr>
        <w:ind w:left="6912" w:hanging="432"/>
      </w:pPr>
      <w:rPr>
        <w:rFonts w:hint="default"/>
        <w:sz w:val="26"/>
        <w:szCs w:val="26"/>
      </w:rPr>
    </w:lvl>
    <w:lvl w:ilvl="2">
      <w:start w:val="1"/>
      <w:numFmt w:val="decimal"/>
      <w:pStyle w:val="Heading3"/>
      <w:lvlText w:val="%1.%2.%3"/>
      <w:lvlJc w:val="left"/>
      <w:pPr>
        <w:ind w:left="432" w:hanging="432"/>
      </w:pPr>
      <w:rPr>
        <w:rFonts w:hint="default"/>
      </w:rPr>
    </w:lvl>
    <w:lvl w:ilvl="3">
      <w:start w:val="1"/>
      <w:numFmt w:val="decimal"/>
      <w:pStyle w:val="Heading4"/>
      <w:lvlText w:val="%1.%2.%3.%4"/>
      <w:lvlJc w:val="left"/>
      <w:pPr>
        <w:ind w:left="432" w:hanging="432"/>
      </w:pPr>
      <w:rPr>
        <w:rFonts w:hint="default"/>
      </w:rPr>
    </w:lvl>
    <w:lvl w:ilvl="4">
      <w:start w:val="1"/>
      <w:numFmt w:val="decimal"/>
      <w:pStyle w:val="Heading5"/>
      <w:lvlText w:val="%1.%2.%3.%4.%5"/>
      <w:lvlJc w:val="left"/>
      <w:pPr>
        <w:ind w:left="432" w:hanging="432"/>
      </w:pPr>
      <w:rPr>
        <w:rFonts w:hint="default"/>
      </w:rPr>
    </w:lvl>
    <w:lvl w:ilvl="5">
      <w:start w:val="1"/>
      <w:numFmt w:val="decimal"/>
      <w:pStyle w:val="Heading6"/>
      <w:lvlText w:val="%1.%2.%3.%4.%5.%6"/>
      <w:lvlJc w:val="left"/>
      <w:pPr>
        <w:ind w:left="432" w:hanging="432"/>
      </w:pPr>
      <w:rPr>
        <w:rFonts w:hint="default"/>
      </w:rPr>
    </w:lvl>
    <w:lvl w:ilvl="6">
      <w:start w:val="1"/>
      <w:numFmt w:val="decimal"/>
      <w:pStyle w:val="Heading7"/>
      <w:lvlText w:val="%1.%2.%3.%4.%5.%6.%7"/>
      <w:lvlJc w:val="left"/>
      <w:pPr>
        <w:ind w:left="432" w:hanging="432"/>
      </w:pPr>
      <w:rPr>
        <w:rFonts w:hint="default"/>
      </w:rPr>
    </w:lvl>
    <w:lvl w:ilvl="7">
      <w:start w:val="1"/>
      <w:numFmt w:val="decimal"/>
      <w:pStyle w:val="Heading8"/>
      <w:lvlText w:val="%1.%2.%3.%4.%5.%6.%7.%8"/>
      <w:lvlJc w:val="left"/>
      <w:pPr>
        <w:ind w:left="432" w:hanging="432"/>
      </w:pPr>
      <w:rPr>
        <w:rFonts w:hint="default"/>
      </w:rPr>
    </w:lvl>
    <w:lvl w:ilvl="8">
      <w:start w:val="1"/>
      <w:numFmt w:val="decimal"/>
      <w:pStyle w:val="Heading9"/>
      <w:lvlText w:val="%1.%2.%3.%4.%5.%6.%7.%8.%9"/>
      <w:lvlJc w:val="left"/>
      <w:pPr>
        <w:ind w:left="432" w:hanging="432"/>
      </w:pPr>
      <w:rPr>
        <w:rFonts w:hint="default"/>
      </w:rPr>
    </w:lvl>
  </w:abstractNum>
  <w:abstractNum w:abstractNumId="9" w15:restartNumberingAfterBreak="0">
    <w:nsid w:val="5B5C15E3"/>
    <w:multiLevelType w:val="hybridMultilevel"/>
    <w:tmpl w:val="A7CCC75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61FD712A"/>
    <w:multiLevelType w:val="multilevel"/>
    <w:tmpl w:val="7354C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9801E47"/>
    <w:multiLevelType w:val="hybridMultilevel"/>
    <w:tmpl w:val="990866E4"/>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2" w15:restartNumberingAfterBreak="0">
    <w:nsid w:val="6FBC5AC4"/>
    <w:multiLevelType w:val="hybridMultilevel"/>
    <w:tmpl w:val="CE40E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BE"/>
    <w:rsid w:val="000011A8"/>
    <w:rsid w:val="000051DE"/>
    <w:rsid w:val="00005342"/>
    <w:rsid w:val="00005CF3"/>
    <w:rsid w:val="00011553"/>
    <w:rsid w:val="000220FE"/>
    <w:rsid w:val="00023975"/>
    <w:rsid w:val="0002588D"/>
    <w:rsid w:val="00030982"/>
    <w:rsid w:val="00032D30"/>
    <w:rsid w:val="00037500"/>
    <w:rsid w:val="00041E6A"/>
    <w:rsid w:val="0005186D"/>
    <w:rsid w:val="00055E3F"/>
    <w:rsid w:val="00071D87"/>
    <w:rsid w:val="000767D3"/>
    <w:rsid w:val="00080A1F"/>
    <w:rsid w:val="000A3A65"/>
    <w:rsid w:val="000A5E92"/>
    <w:rsid w:val="000B7E81"/>
    <w:rsid w:val="000D0955"/>
    <w:rsid w:val="000D1395"/>
    <w:rsid w:val="000D43C7"/>
    <w:rsid w:val="00135FE5"/>
    <w:rsid w:val="00174C09"/>
    <w:rsid w:val="00187282"/>
    <w:rsid w:val="0019516A"/>
    <w:rsid w:val="001B47C7"/>
    <w:rsid w:val="001C3D16"/>
    <w:rsid w:val="001F5C29"/>
    <w:rsid w:val="001F7C91"/>
    <w:rsid w:val="002076C6"/>
    <w:rsid w:val="00224C21"/>
    <w:rsid w:val="00263C9E"/>
    <w:rsid w:val="00264E61"/>
    <w:rsid w:val="00284283"/>
    <w:rsid w:val="002A1CC8"/>
    <w:rsid w:val="002C052C"/>
    <w:rsid w:val="002C7B3D"/>
    <w:rsid w:val="002D2147"/>
    <w:rsid w:val="002E5A84"/>
    <w:rsid w:val="00303949"/>
    <w:rsid w:val="00320391"/>
    <w:rsid w:val="00327D63"/>
    <w:rsid w:val="00331D01"/>
    <w:rsid w:val="003515A8"/>
    <w:rsid w:val="003637EB"/>
    <w:rsid w:val="00367348"/>
    <w:rsid w:val="003A0C3F"/>
    <w:rsid w:val="003A66E4"/>
    <w:rsid w:val="003B4C46"/>
    <w:rsid w:val="003B5DD0"/>
    <w:rsid w:val="003C006C"/>
    <w:rsid w:val="003C0C58"/>
    <w:rsid w:val="003E07D3"/>
    <w:rsid w:val="003F0F67"/>
    <w:rsid w:val="0040658D"/>
    <w:rsid w:val="004103AE"/>
    <w:rsid w:val="00411013"/>
    <w:rsid w:val="00424007"/>
    <w:rsid w:val="00432250"/>
    <w:rsid w:val="00443BA0"/>
    <w:rsid w:val="00446F5C"/>
    <w:rsid w:val="004902FA"/>
    <w:rsid w:val="004C546B"/>
    <w:rsid w:val="004C6503"/>
    <w:rsid w:val="004E75B9"/>
    <w:rsid w:val="004F3395"/>
    <w:rsid w:val="004F57F2"/>
    <w:rsid w:val="004F6153"/>
    <w:rsid w:val="005005E8"/>
    <w:rsid w:val="0051517A"/>
    <w:rsid w:val="00527E72"/>
    <w:rsid w:val="005527DA"/>
    <w:rsid w:val="00571FE9"/>
    <w:rsid w:val="00572EE6"/>
    <w:rsid w:val="00574172"/>
    <w:rsid w:val="00583380"/>
    <w:rsid w:val="00585C3B"/>
    <w:rsid w:val="00591728"/>
    <w:rsid w:val="005B5C40"/>
    <w:rsid w:val="005C6037"/>
    <w:rsid w:val="005C70A9"/>
    <w:rsid w:val="005C74AE"/>
    <w:rsid w:val="005C7AF3"/>
    <w:rsid w:val="005E1BE5"/>
    <w:rsid w:val="005E2F7F"/>
    <w:rsid w:val="005E3015"/>
    <w:rsid w:val="005F253C"/>
    <w:rsid w:val="005F44F8"/>
    <w:rsid w:val="005F7A12"/>
    <w:rsid w:val="0061085C"/>
    <w:rsid w:val="00626122"/>
    <w:rsid w:val="00631ED2"/>
    <w:rsid w:val="00635F13"/>
    <w:rsid w:val="006564A6"/>
    <w:rsid w:val="0065705E"/>
    <w:rsid w:val="0066362B"/>
    <w:rsid w:val="006721EF"/>
    <w:rsid w:val="00676FD1"/>
    <w:rsid w:val="00680995"/>
    <w:rsid w:val="006B1E7A"/>
    <w:rsid w:val="006C13D2"/>
    <w:rsid w:val="006C2FDE"/>
    <w:rsid w:val="006E4724"/>
    <w:rsid w:val="006E522B"/>
    <w:rsid w:val="006F31DD"/>
    <w:rsid w:val="0070041D"/>
    <w:rsid w:val="00731CD5"/>
    <w:rsid w:val="00751A4F"/>
    <w:rsid w:val="00762995"/>
    <w:rsid w:val="00780547"/>
    <w:rsid w:val="00786C83"/>
    <w:rsid w:val="00790775"/>
    <w:rsid w:val="00793F62"/>
    <w:rsid w:val="007A1B42"/>
    <w:rsid w:val="007A61BE"/>
    <w:rsid w:val="007C019B"/>
    <w:rsid w:val="007C0593"/>
    <w:rsid w:val="007C0DA0"/>
    <w:rsid w:val="007C5AC2"/>
    <w:rsid w:val="007F4F42"/>
    <w:rsid w:val="00803009"/>
    <w:rsid w:val="00830B49"/>
    <w:rsid w:val="0083561A"/>
    <w:rsid w:val="00847DAA"/>
    <w:rsid w:val="00852030"/>
    <w:rsid w:val="00854866"/>
    <w:rsid w:val="00882474"/>
    <w:rsid w:val="008A567D"/>
    <w:rsid w:val="008C5223"/>
    <w:rsid w:val="008D6F27"/>
    <w:rsid w:val="008E5041"/>
    <w:rsid w:val="00904BBA"/>
    <w:rsid w:val="009124F2"/>
    <w:rsid w:val="00917AA1"/>
    <w:rsid w:val="009435DD"/>
    <w:rsid w:val="00947BFD"/>
    <w:rsid w:val="00962B7F"/>
    <w:rsid w:val="00973389"/>
    <w:rsid w:val="00987044"/>
    <w:rsid w:val="00997E4F"/>
    <w:rsid w:val="009A0B1F"/>
    <w:rsid w:val="009B268B"/>
    <w:rsid w:val="009D1271"/>
    <w:rsid w:val="009D2B10"/>
    <w:rsid w:val="009D32F3"/>
    <w:rsid w:val="009E0239"/>
    <w:rsid w:val="009E23E4"/>
    <w:rsid w:val="009E6524"/>
    <w:rsid w:val="009F7E07"/>
    <w:rsid w:val="00A14A9E"/>
    <w:rsid w:val="00A1505C"/>
    <w:rsid w:val="00A31572"/>
    <w:rsid w:val="00A34A78"/>
    <w:rsid w:val="00A36D66"/>
    <w:rsid w:val="00A45827"/>
    <w:rsid w:val="00A4723C"/>
    <w:rsid w:val="00A546C3"/>
    <w:rsid w:val="00A56372"/>
    <w:rsid w:val="00A62540"/>
    <w:rsid w:val="00A712D1"/>
    <w:rsid w:val="00A71BD0"/>
    <w:rsid w:val="00A819D0"/>
    <w:rsid w:val="00AA131D"/>
    <w:rsid w:val="00AA3515"/>
    <w:rsid w:val="00AC04D8"/>
    <w:rsid w:val="00AC5435"/>
    <w:rsid w:val="00AC6F86"/>
    <w:rsid w:val="00AD671C"/>
    <w:rsid w:val="00AE37E1"/>
    <w:rsid w:val="00B00115"/>
    <w:rsid w:val="00B01B2B"/>
    <w:rsid w:val="00B07245"/>
    <w:rsid w:val="00B14BC8"/>
    <w:rsid w:val="00B32190"/>
    <w:rsid w:val="00B34B82"/>
    <w:rsid w:val="00B420F7"/>
    <w:rsid w:val="00B45151"/>
    <w:rsid w:val="00B53386"/>
    <w:rsid w:val="00B559E8"/>
    <w:rsid w:val="00B56C99"/>
    <w:rsid w:val="00B6328A"/>
    <w:rsid w:val="00B649C8"/>
    <w:rsid w:val="00B7124B"/>
    <w:rsid w:val="00B81A57"/>
    <w:rsid w:val="00B91595"/>
    <w:rsid w:val="00BA477F"/>
    <w:rsid w:val="00BA539B"/>
    <w:rsid w:val="00BB1EA7"/>
    <w:rsid w:val="00BC61B1"/>
    <w:rsid w:val="00BD4C12"/>
    <w:rsid w:val="00BF37DF"/>
    <w:rsid w:val="00C03062"/>
    <w:rsid w:val="00C03371"/>
    <w:rsid w:val="00C03786"/>
    <w:rsid w:val="00C04C78"/>
    <w:rsid w:val="00C073E3"/>
    <w:rsid w:val="00C13C67"/>
    <w:rsid w:val="00C14309"/>
    <w:rsid w:val="00C249C7"/>
    <w:rsid w:val="00C31960"/>
    <w:rsid w:val="00C34CCF"/>
    <w:rsid w:val="00C40DA2"/>
    <w:rsid w:val="00C520B4"/>
    <w:rsid w:val="00C54FE2"/>
    <w:rsid w:val="00C6286D"/>
    <w:rsid w:val="00C65629"/>
    <w:rsid w:val="00C80113"/>
    <w:rsid w:val="00C94624"/>
    <w:rsid w:val="00CA379E"/>
    <w:rsid w:val="00CA6266"/>
    <w:rsid w:val="00CB02B2"/>
    <w:rsid w:val="00CB33C0"/>
    <w:rsid w:val="00CC417C"/>
    <w:rsid w:val="00CC5429"/>
    <w:rsid w:val="00CF29BB"/>
    <w:rsid w:val="00D0795A"/>
    <w:rsid w:val="00D11512"/>
    <w:rsid w:val="00D127C2"/>
    <w:rsid w:val="00D423BC"/>
    <w:rsid w:val="00D44CDC"/>
    <w:rsid w:val="00D60320"/>
    <w:rsid w:val="00D62013"/>
    <w:rsid w:val="00D625B8"/>
    <w:rsid w:val="00D712A6"/>
    <w:rsid w:val="00D81AAF"/>
    <w:rsid w:val="00DA22F8"/>
    <w:rsid w:val="00DD23C8"/>
    <w:rsid w:val="00DD5A82"/>
    <w:rsid w:val="00DF5890"/>
    <w:rsid w:val="00DF7CDF"/>
    <w:rsid w:val="00E030DC"/>
    <w:rsid w:val="00E11B23"/>
    <w:rsid w:val="00E23C97"/>
    <w:rsid w:val="00E24DDD"/>
    <w:rsid w:val="00E258FA"/>
    <w:rsid w:val="00E30717"/>
    <w:rsid w:val="00E41F3D"/>
    <w:rsid w:val="00E432A2"/>
    <w:rsid w:val="00E52673"/>
    <w:rsid w:val="00E52741"/>
    <w:rsid w:val="00E71163"/>
    <w:rsid w:val="00E725F0"/>
    <w:rsid w:val="00E72CDE"/>
    <w:rsid w:val="00E772FA"/>
    <w:rsid w:val="00E80C56"/>
    <w:rsid w:val="00E80DD9"/>
    <w:rsid w:val="00E905F9"/>
    <w:rsid w:val="00E92B64"/>
    <w:rsid w:val="00E93477"/>
    <w:rsid w:val="00EA16CA"/>
    <w:rsid w:val="00EA7095"/>
    <w:rsid w:val="00ED3AD6"/>
    <w:rsid w:val="00EE0B29"/>
    <w:rsid w:val="00EE2E3F"/>
    <w:rsid w:val="00EF16DD"/>
    <w:rsid w:val="00EF71DD"/>
    <w:rsid w:val="00F02119"/>
    <w:rsid w:val="00F05964"/>
    <w:rsid w:val="00F12F24"/>
    <w:rsid w:val="00F16657"/>
    <w:rsid w:val="00F16E27"/>
    <w:rsid w:val="00F17EB4"/>
    <w:rsid w:val="00F26BA4"/>
    <w:rsid w:val="00F35274"/>
    <w:rsid w:val="00F37D0F"/>
    <w:rsid w:val="00F46D4D"/>
    <w:rsid w:val="00F50590"/>
    <w:rsid w:val="00F63843"/>
    <w:rsid w:val="00F77681"/>
    <w:rsid w:val="00F80569"/>
    <w:rsid w:val="00F97CE2"/>
    <w:rsid w:val="00FA0911"/>
    <w:rsid w:val="00FB24B6"/>
    <w:rsid w:val="00FD56BB"/>
    <w:rsid w:val="00FD75DA"/>
    <w:rsid w:val="00FD7B3A"/>
    <w:rsid w:val="00FF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80923"/>
  <w15:chartTrackingRefBased/>
  <w15:docId w15:val="{65E5EE4B-A3C9-40D8-A879-A9DC8B08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1BE"/>
    <w:pPr>
      <w:spacing w:after="248" w:line="264" w:lineRule="auto"/>
      <w:ind w:left="514" w:right="1"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7A61BE"/>
    <w:pPr>
      <w:keepNext/>
      <w:keepLines/>
      <w:numPr>
        <w:numId w:val="3"/>
      </w:numPr>
      <w:spacing w:after="120"/>
      <w:outlineLvl w:val="0"/>
    </w:pPr>
    <w:rPr>
      <w:rFonts w:ascii="Calibri" w:eastAsia="Calibri" w:hAnsi="Calibri" w:cs="Calibri"/>
      <w:sz w:val="36"/>
    </w:rPr>
  </w:style>
  <w:style w:type="paragraph" w:styleId="Heading2">
    <w:name w:val="heading 2"/>
    <w:basedOn w:val="Normal"/>
    <w:next w:val="Normal"/>
    <w:link w:val="Heading2Char"/>
    <w:uiPriority w:val="9"/>
    <w:unhideWhenUsed/>
    <w:qFormat/>
    <w:rsid w:val="00023975"/>
    <w:pPr>
      <w:keepNext/>
      <w:keepLines/>
      <w:numPr>
        <w:ilvl w:val="1"/>
        <w:numId w:val="3"/>
      </w:numPr>
      <w:spacing w:before="40" w:after="0"/>
      <w:ind w:left="432" w:right="0"/>
      <w:outlineLvl w:val="1"/>
    </w:pPr>
    <w:rPr>
      <w:rFonts w:ascii="Source Sans Pro" w:eastAsiaTheme="majorEastAsia" w:hAnsi="Source Sans Pro" w:cstheme="majorBidi"/>
      <w:color w:val="000000" w:themeColor="text1"/>
      <w:sz w:val="26"/>
      <w:szCs w:val="26"/>
    </w:rPr>
  </w:style>
  <w:style w:type="paragraph" w:styleId="Heading3">
    <w:name w:val="heading 3"/>
    <w:basedOn w:val="Normal"/>
    <w:next w:val="Normal"/>
    <w:link w:val="Heading3Char"/>
    <w:uiPriority w:val="9"/>
    <w:semiHidden/>
    <w:unhideWhenUsed/>
    <w:qFormat/>
    <w:rsid w:val="00DF7CDF"/>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7CDF"/>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7CDF"/>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F7CDF"/>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F7CDF"/>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F7CD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7CD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1BE"/>
    <w:rPr>
      <w:rFonts w:ascii="Calibri" w:eastAsia="Calibri" w:hAnsi="Calibri" w:cs="Calibri"/>
      <w:sz w:val="36"/>
    </w:rPr>
  </w:style>
  <w:style w:type="character" w:customStyle="1" w:styleId="Heading2Char">
    <w:name w:val="Heading 2 Char"/>
    <w:basedOn w:val="DefaultParagraphFont"/>
    <w:link w:val="Heading2"/>
    <w:uiPriority w:val="9"/>
    <w:rsid w:val="00023975"/>
    <w:rPr>
      <w:rFonts w:ascii="Source Sans Pro" w:eastAsiaTheme="majorEastAsia" w:hAnsi="Source Sans Pro" w:cstheme="majorBidi"/>
      <w:color w:val="000000" w:themeColor="text1"/>
      <w:sz w:val="26"/>
      <w:szCs w:val="26"/>
    </w:rPr>
  </w:style>
  <w:style w:type="table" w:customStyle="1" w:styleId="TableGrid">
    <w:name w:val="TableGrid"/>
    <w:rsid w:val="007A61BE"/>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7A61B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1BE"/>
    <w:pPr>
      <w:ind w:left="720"/>
      <w:contextualSpacing/>
    </w:pPr>
  </w:style>
  <w:style w:type="paragraph" w:styleId="NoSpacing">
    <w:name w:val="No Spacing"/>
    <w:uiPriority w:val="1"/>
    <w:qFormat/>
    <w:rsid w:val="007A61BE"/>
    <w:pPr>
      <w:spacing w:after="0" w:line="240" w:lineRule="auto"/>
      <w:ind w:left="514" w:right="1" w:hanging="10"/>
      <w:jc w:val="both"/>
    </w:pPr>
    <w:rPr>
      <w:rFonts w:ascii="Calibri" w:eastAsia="Calibri" w:hAnsi="Calibri" w:cs="Calibri"/>
      <w:color w:val="000000"/>
    </w:rPr>
  </w:style>
  <w:style w:type="paragraph" w:styleId="Title">
    <w:name w:val="Title"/>
    <w:basedOn w:val="Normal"/>
    <w:next w:val="Normal"/>
    <w:link w:val="TitleChar"/>
    <w:uiPriority w:val="10"/>
    <w:qFormat/>
    <w:rsid w:val="007A61B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61B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A61BE"/>
    <w:pPr>
      <w:spacing w:before="240" w:after="0"/>
      <w:ind w:left="0" w:firstLine="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0011A8"/>
    <w:pPr>
      <w:tabs>
        <w:tab w:val="left" w:pos="440"/>
        <w:tab w:val="right" w:leader="dot" w:pos="9860"/>
      </w:tabs>
      <w:spacing w:after="100"/>
      <w:ind w:left="0"/>
    </w:pPr>
  </w:style>
  <w:style w:type="character" w:styleId="Hyperlink">
    <w:name w:val="Hyperlink"/>
    <w:basedOn w:val="DefaultParagraphFont"/>
    <w:uiPriority w:val="99"/>
    <w:unhideWhenUsed/>
    <w:rsid w:val="007A61BE"/>
    <w:rPr>
      <w:color w:val="0563C1" w:themeColor="hyperlink"/>
      <w:u w:val="single"/>
    </w:rPr>
  </w:style>
  <w:style w:type="paragraph" w:styleId="Header">
    <w:name w:val="header"/>
    <w:basedOn w:val="Normal"/>
    <w:link w:val="HeaderChar"/>
    <w:uiPriority w:val="99"/>
    <w:unhideWhenUsed/>
    <w:rsid w:val="007A6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1BE"/>
    <w:rPr>
      <w:rFonts w:ascii="Calibri" w:eastAsia="Calibri" w:hAnsi="Calibri" w:cs="Calibri"/>
      <w:color w:val="000000"/>
    </w:rPr>
  </w:style>
  <w:style w:type="paragraph" w:styleId="Footer">
    <w:name w:val="footer"/>
    <w:basedOn w:val="Normal"/>
    <w:link w:val="FooterChar"/>
    <w:uiPriority w:val="99"/>
    <w:unhideWhenUsed/>
    <w:rsid w:val="007A61BE"/>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7A61BE"/>
    <w:rPr>
      <w:rFonts w:eastAsiaTheme="minorEastAsia" w:cs="Times New Roman"/>
    </w:rPr>
  </w:style>
  <w:style w:type="character" w:customStyle="1" w:styleId="Heading3Char">
    <w:name w:val="Heading 3 Char"/>
    <w:basedOn w:val="DefaultParagraphFont"/>
    <w:link w:val="Heading3"/>
    <w:uiPriority w:val="9"/>
    <w:semiHidden/>
    <w:rsid w:val="00DF7C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F7CD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F7CD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F7CD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F7CD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F7C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7CD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E522B"/>
    <w:rPr>
      <w:color w:val="605E5C"/>
      <w:shd w:val="clear" w:color="auto" w:fill="E1DFDD"/>
    </w:rPr>
  </w:style>
  <w:style w:type="paragraph" w:styleId="TOC2">
    <w:name w:val="toc 2"/>
    <w:basedOn w:val="Normal"/>
    <w:next w:val="Normal"/>
    <w:autoRedefine/>
    <w:uiPriority w:val="39"/>
    <w:unhideWhenUsed/>
    <w:rsid w:val="00947BFD"/>
    <w:pPr>
      <w:spacing w:after="100"/>
      <w:ind w:left="220"/>
    </w:pPr>
  </w:style>
  <w:style w:type="paragraph" w:styleId="TOC3">
    <w:name w:val="toc 3"/>
    <w:basedOn w:val="Normal"/>
    <w:next w:val="Normal"/>
    <w:autoRedefine/>
    <w:uiPriority w:val="39"/>
    <w:unhideWhenUsed/>
    <w:rsid w:val="00947BFD"/>
    <w:pPr>
      <w:spacing w:after="100" w:line="259" w:lineRule="auto"/>
      <w:ind w:left="440" w:right="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947BFD"/>
    <w:pPr>
      <w:spacing w:after="100" w:line="259" w:lineRule="auto"/>
      <w:ind w:left="660" w:right="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947BFD"/>
    <w:pPr>
      <w:spacing w:after="100" w:line="259" w:lineRule="auto"/>
      <w:ind w:left="880" w:right="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947BFD"/>
    <w:pPr>
      <w:spacing w:after="100" w:line="259" w:lineRule="auto"/>
      <w:ind w:left="1100" w:right="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947BFD"/>
    <w:pPr>
      <w:spacing w:after="100" w:line="259" w:lineRule="auto"/>
      <w:ind w:left="1320" w:right="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947BFD"/>
    <w:pPr>
      <w:spacing w:after="100" w:line="259" w:lineRule="auto"/>
      <w:ind w:left="1540" w:right="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947BFD"/>
    <w:pPr>
      <w:spacing w:after="100" w:line="259" w:lineRule="auto"/>
      <w:ind w:left="1760" w:right="0" w:firstLine="0"/>
      <w:jc w:val="left"/>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rsid w:val="00C40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DA2"/>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8C5223"/>
    <w:rPr>
      <w:sz w:val="16"/>
      <w:szCs w:val="16"/>
    </w:rPr>
  </w:style>
  <w:style w:type="paragraph" w:styleId="CommentText">
    <w:name w:val="annotation text"/>
    <w:basedOn w:val="Normal"/>
    <w:link w:val="CommentTextChar"/>
    <w:uiPriority w:val="99"/>
    <w:semiHidden/>
    <w:unhideWhenUsed/>
    <w:rsid w:val="008C5223"/>
    <w:pPr>
      <w:spacing w:line="240" w:lineRule="auto"/>
    </w:pPr>
    <w:rPr>
      <w:sz w:val="20"/>
      <w:szCs w:val="20"/>
    </w:rPr>
  </w:style>
  <w:style w:type="character" w:customStyle="1" w:styleId="CommentTextChar">
    <w:name w:val="Comment Text Char"/>
    <w:basedOn w:val="DefaultParagraphFont"/>
    <w:link w:val="CommentText"/>
    <w:uiPriority w:val="99"/>
    <w:semiHidden/>
    <w:rsid w:val="008C522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C5223"/>
    <w:rPr>
      <w:b/>
      <w:bCs/>
    </w:rPr>
  </w:style>
  <w:style w:type="character" w:customStyle="1" w:styleId="CommentSubjectChar">
    <w:name w:val="Comment Subject Char"/>
    <w:basedOn w:val="CommentTextChar"/>
    <w:link w:val="CommentSubject"/>
    <w:uiPriority w:val="99"/>
    <w:semiHidden/>
    <w:rsid w:val="008C5223"/>
    <w:rPr>
      <w:rFonts w:ascii="Calibri" w:eastAsia="Calibri" w:hAnsi="Calibri" w:cs="Calibri"/>
      <w:b/>
      <w:bCs/>
      <w:color w:val="000000"/>
      <w:sz w:val="20"/>
      <w:szCs w:val="20"/>
    </w:rPr>
  </w:style>
  <w:style w:type="paragraph" w:customStyle="1" w:styleId="xmsolistparagraph">
    <w:name w:val="x_msolistparagraph"/>
    <w:basedOn w:val="Normal"/>
    <w:rsid w:val="004103AE"/>
    <w:pPr>
      <w:spacing w:before="100" w:beforeAutospacing="1" w:after="100" w:afterAutospacing="1" w:line="240" w:lineRule="auto"/>
      <w:ind w:left="0" w:right="0" w:firstLine="0"/>
      <w:jc w:val="left"/>
    </w:pPr>
    <w:rPr>
      <w:rFonts w:eastAsiaTheme="minorHAnsi"/>
      <w:color w:val="auto"/>
    </w:rPr>
  </w:style>
  <w:style w:type="paragraph" w:styleId="Revision">
    <w:name w:val="Revision"/>
    <w:hidden/>
    <w:uiPriority w:val="99"/>
    <w:semiHidden/>
    <w:rsid w:val="00AD671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76102">
      <w:bodyDiv w:val="1"/>
      <w:marLeft w:val="0"/>
      <w:marRight w:val="0"/>
      <w:marTop w:val="0"/>
      <w:marBottom w:val="0"/>
      <w:divBdr>
        <w:top w:val="none" w:sz="0" w:space="0" w:color="auto"/>
        <w:left w:val="none" w:sz="0" w:space="0" w:color="auto"/>
        <w:bottom w:val="none" w:sz="0" w:space="0" w:color="auto"/>
        <w:right w:val="none" w:sz="0" w:space="0" w:color="auto"/>
      </w:divBdr>
    </w:div>
    <w:div w:id="905380259">
      <w:bodyDiv w:val="1"/>
      <w:marLeft w:val="0"/>
      <w:marRight w:val="0"/>
      <w:marTop w:val="0"/>
      <w:marBottom w:val="0"/>
      <w:divBdr>
        <w:top w:val="none" w:sz="0" w:space="0" w:color="auto"/>
        <w:left w:val="none" w:sz="0" w:space="0" w:color="auto"/>
        <w:bottom w:val="none" w:sz="0" w:space="0" w:color="auto"/>
        <w:right w:val="none" w:sz="0" w:space="0" w:color="auto"/>
      </w:divBdr>
    </w:div>
    <w:div w:id="1153525212">
      <w:bodyDiv w:val="1"/>
      <w:marLeft w:val="0"/>
      <w:marRight w:val="0"/>
      <w:marTop w:val="0"/>
      <w:marBottom w:val="0"/>
      <w:divBdr>
        <w:top w:val="none" w:sz="0" w:space="0" w:color="auto"/>
        <w:left w:val="none" w:sz="0" w:space="0" w:color="auto"/>
        <w:bottom w:val="none" w:sz="0" w:space="0" w:color="auto"/>
        <w:right w:val="none" w:sz="0" w:space="0" w:color="auto"/>
      </w:divBdr>
    </w:div>
    <w:div w:id="1254164405">
      <w:bodyDiv w:val="1"/>
      <w:marLeft w:val="0"/>
      <w:marRight w:val="0"/>
      <w:marTop w:val="0"/>
      <w:marBottom w:val="0"/>
      <w:divBdr>
        <w:top w:val="none" w:sz="0" w:space="0" w:color="auto"/>
        <w:left w:val="none" w:sz="0" w:space="0" w:color="auto"/>
        <w:bottom w:val="none" w:sz="0" w:space="0" w:color="auto"/>
        <w:right w:val="none" w:sz="0" w:space="0" w:color="auto"/>
      </w:divBdr>
    </w:div>
    <w:div w:id="1466047711">
      <w:bodyDiv w:val="1"/>
      <w:marLeft w:val="0"/>
      <w:marRight w:val="0"/>
      <w:marTop w:val="0"/>
      <w:marBottom w:val="0"/>
      <w:divBdr>
        <w:top w:val="none" w:sz="0" w:space="0" w:color="auto"/>
        <w:left w:val="none" w:sz="0" w:space="0" w:color="auto"/>
        <w:bottom w:val="none" w:sz="0" w:space="0" w:color="auto"/>
        <w:right w:val="none" w:sz="0" w:space="0" w:color="auto"/>
      </w:divBdr>
    </w:div>
    <w:div w:id="1469011987">
      <w:bodyDiv w:val="1"/>
      <w:marLeft w:val="0"/>
      <w:marRight w:val="0"/>
      <w:marTop w:val="0"/>
      <w:marBottom w:val="0"/>
      <w:divBdr>
        <w:top w:val="none" w:sz="0" w:space="0" w:color="auto"/>
        <w:left w:val="none" w:sz="0" w:space="0" w:color="auto"/>
        <w:bottom w:val="none" w:sz="0" w:space="0" w:color="auto"/>
        <w:right w:val="none" w:sz="0" w:space="0" w:color="auto"/>
      </w:divBdr>
    </w:div>
    <w:div w:id="1964991935">
      <w:bodyDiv w:val="1"/>
      <w:marLeft w:val="0"/>
      <w:marRight w:val="0"/>
      <w:marTop w:val="0"/>
      <w:marBottom w:val="0"/>
      <w:divBdr>
        <w:top w:val="none" w:sz="0" w:space="0" w:color="auto"/>
        <w:left w:val="none" w:sz="0" w:space="0" w:color="auto"/>
        <w:bottom w:val="none" w:sz="0" w:space="0" w:color="auto"/>
        <w:right w:val="none" w:sz="0" w:space="0" w:color="auto"/>
      </w:divBdr>
    </w:div>
    <w:div w:id="20955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xtranet.cccco.edu/Divisions/FinanceFacilities/StudentCenteredFundingFormula.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smena@cccco.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fcmat.org/community-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90C5-A4EE-4498-93DF-96FD2B5A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6156</Words>
  <Characters>35091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Harvey</dc:creator>
  <cp:keywords/>
  <dc:description/>
  <cp:lastModifiedBy>Coniglio, Carmen M.</cp:lastModifiedBy>
  <cp:revision>2</cp:revision>
  <dcterms:created xsi:type="dcterms:W3CDTF">2019-05-02T23:29:00Z</dcterms:created>
  <dcterms:modified xsi:type="dcterms:W3CDTF">2019-05-02T23:29:00Z</dcterms:modified>
</cp:coreProperties>
</file>